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93509" w14:textId="77777777" w:rsidR="007005A2" w:rsidRPr="007E2534" w:rsidRDefault="00DC10B8" w:rsidP="00693B30">
      <w:pPr>
        <w:spacing w:line="240" w:lineRule="auto"/>
      </w:pPr>
      <w:r>
        <w:rPr>
          <w:noProof/>
          <w:lang w:eastAsia="en-GB"/>
        </w:rPr>
        <mc:AlternateContent>
          <mc:Choice Requires="wps">
            <w:drawing>
              <wp:anchor distT="0" distB="0" distL="114300" distR="114300" simplePos="0" relativeHeight="251661312" behindDoc="0" locked="0" layoutInCell="1" allowOverlap="1" wp14:anchorId="7DDE94AD" wp14:editId="5354F4AF">
                <wp:simplePos x="0" y="0"/>
                <wp:positionH relativeFrom="column">
                  <wp:posOffset>1905</wp:posOffset>
                </wp:positionH>
                <wp:positionV relativeFrom="paragraph">
                  <wp:posOffset>-283845</wp:posOffset>
                </wp:positionV>
                <wp:extent cx="6773545" cy="552450"/>
                <wp:effectExtent l="0" t="0" r="8255" b="0"/>
                <wp:wrapTight wrapText="bothSides">
                  <wp:wrapPolygon edited="0">
                    <wp:start x="0" y="0"/>
                    <wp:lineTo x="0" y="20855"/>
                    <wp:lineTo x="21566" y="20855"/>
                    <wp:lineTo x="21566"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3545" cy="5524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09C859C9" w14:textId="77777777" w:rsidR="005C5380" w:rsidRPr="00791969" w:rsidRDefault="005C5380" w:rsidP="0083709F">
                            <w:pPr>
                              <w:pStyle w:val="LawWsStandfirstCopy"/>
                              <w:rPr>
                                <w:b/>
                                <w:sz w:val="44"/>
                                <w:szCs w:val="44"/>
                                <w:vertAlign w:val="subscript"/>
                              </w:rPr>
                            </w:pPr>
                            <w:r w:rsidRPr="00791969">
                              <w:rPr>
                                <w:b/>
                                <w:sz w:val="44"/>
                                <w:szCs w:val="44"/>
                                <w:vertAlign w:val="subscript"/>
                              </w:rPr>
                              <w:t>Taylor Review of modern employment practices</w:t>
                            </w:r>
                          </w:p>
                          <w:p w14:paraId="66291B0E" w14:textId="77777777" w:rsidR="005C5380" w:rsidRDefault="005C5380" w:rsidP="0083709F">
                            <w:pPr>
                              <w:pStyle w:val="LawWsStandfirstCopy"/>
                              <w:rPr>
                                <w:b/>
                                <w:sz w:val="56"/>
                                <w:szCs w:val="56"/>
                                <w:vertAlign w:val="subscript"/>
                              </w:rPr>
                            </w:pPr>
                          </w:p>
                          <w:p w14:paraId="51FFDA47" w14:textId="77777777" w:rsidR="005C5380" w:rsidRPr="00873474" w:rsidRDefault="005C5380" w:rsidP="0083709F">
                            <w:pPr>
                              <w:pStyle w:val="LawWsStandfirstCopy"/>
                              <w:rPr>
                                <w:b/>
                                <w:sz w:val="56"/>
                                <w:szCs w:val="56"/>
                                <w:vertAlign w:val="subscript"/>
                              </w:rPr>
                            </w:pPr>
                          </w:p>
                          <w:p w14:paraId="5F65A8BD" w14:textId="77777777" w:rsidR="005C5380" w:rsidRDefault="005C5380" w:rsidP="0083709F">
                            <w:pPr>
                              <w:pStyle w:val="LawWsStandfirstCopy"/>
                            </w:pPr>
                          </w:p>
                          <w:p w14:paraId="5A07376C" w14:textId="77777777" w:rsidR="005C5380" w:rsidRDefault="005C5380" w:rsidP="0083709F">
                            <w:pPr>
                              <w:pStyle w:val="LawWsStandfirstCopy"/>
                            </w:pPr>
                          </w:p>
                          <w:p w14:paraId="61E5FF20" w14:textId="77777777" w:rsidR="005C5380" w:rsidRDefault="005C5380" w:rsidP="0083709F">
                            <w:pPr>
                              <w:pStyle w:val="LawWsStandfirstCopy"/>
                            </w:pPr>
                          </w:p>
                          <w:p w14:paraId="4F79671C" w14:textId="77777777" w:rsidR="005C5380" w:rsidRDefault="005C5380" w:rsidP="0083709F">
                            <w:pPr>
                              <w:pStyle w:val="LawWsStandfirstCopy"/>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pt;margin-top:-22.35pt;width:533.3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" filled="f" stroked="f">
                <v:path arrowok="t"/>
                <v:textbox inset="0,0,0,0">
                  <w:txbxContent>
                    <w:p w14:paraId="09C859C9" w14:textId="77777777" w:rsidR="005C5380" w:rsidRPr="00791969" w:rsidRDefault="005C5380" w:rsidP="0083709F">
                      <w:pPr>
                        <w:pStyle w:val="LawWsStandfirstCopy"/>
                        <w:rPr>
                          <w:b/>
                          <w:sz w:val="44"/>
                          <w:szCs w:val="44"/>
                          <w:vertAlign w:val="subscript"/>
                        </w:rPr>
                      </w:pPr>
                      <w:r w:rsidRPr="00791969">
                        <w:rPr>
                          <w:b/>
                          <w:sz w:val="44"/>
                          <w:szCs w:val="44"/>
                          <w:vertAlign w:val="subscript"/>
                        </w:rPr>
                        <w:t>Taylor Review of modern employment practices</w:t>
                      </w:r>
                    </w:p>
                    <w:p w14:paraId="66291B0E" w14:textId="77777777" w:rsidR="005C5380" w:rsidRDefault="005C5380" w:rsidP="0083709F">
                      <w:pPr>
                        <w:pStyle w:val="LawWsStandfirstCopy"/>
                        <w:rPr>
                          <w:b/>
                          <w:sz w:val="56"/>
                          <w:szCs w:val="56"/>
                          <w:vertAlign w:val="subscript"/>
                        </w:rPr>
                      </w:pPr>
                    </w:p>
                    <w:p w14:paraId="51FFDA47" w14:textId="77777777" w:rsidR="005C5380" w:rsidRPr="00873474" w:rsidRDefault="005C5380" w:rsidP="0083709F">
                      <w:pPr>
                        <w:pStyle w:val="LawWsStandfirstCopy"/>
                        <w:rPr>
                          <w:b/>
                          <w:sz w:val="56"/>
                          <w:szCs w:val="56"/>
                          <w:vertAlign w:val="subscript"/>
                        </w:rPr>
                      </w:pPr>
                    </w:p>
                    <w:p w14:paraId="5F65A8BD" w14:textId="77777777" w:rsidR="005C5380" w:rsidRDefault="005C5380" w:rsidP="0083709F">
                      <w:pPr>
                        <w:pStyle w:val="LawWsStandfirstCopy"/>
                      </w:pPr>
                    </w:p>
                    <w:p w14:paraId="5A07376C" w14:textId="77777777" w:rsidR="005C5380" w:rsidRDefault="005C5380" w:rsidP="0083709F">
                      <w:pPr>
                        <w:pStyle w:val="LawWsStandfirstCopy"/>
                      </w:pPr>
                    </w:p>
                    <w:p w14:paraId="61E5FF20" w14:textId="77777777" w:rsidR="005C5380" w:rsidRDefault="005C5380" w:rsidP="0083709F">
                      <w:pPr>
                        <w:pStyle w:val="LawWsStandfirstCopy"/>
                      </w:pPr>
                    </w:p>
                    <w:p w14:paraId="4F79671C" w14:textId="77777777" w:rsidR="005C5380" w:rsidRDefault="005C5380" w:rsidP="0083709F">
                      <w:pPr>
                        <w:pStyle w:val="LawWsStandfirstCopy"/>
                      </w:pPr>
                    </w:p>
                  </w:txbxContent>
                </v:textbox>
                <w10:wrap type="tight"/>
              </v:shape>
            </w:pict>
          </mc:Fallback>
        </mc:AlternateContent>
      </w:r>
      <w:r>
        <w:rPr>
          <w:noProof/>
          <w:lang w:eastAsia="en-GB"/>
        </w:rPr>
        <mc:AlternateContent>
          <mc:Choice Requires="wps">
            <w:drawing>
              <wp:anchor distT="0" distB="0" distL="114300" distR="114300" simplePos="0" relativeHeight="251659264" behindDoc="0" locked="0" layoutInCell="1" allowOverlap="0" wp14:anchorId="520DF567" wp14:editId="7C8C5678">
                <wp:simplePos x="0" y="0"/>
                <wp:positionH relativeFrom="page">
                  <wp:posOffset>1412875</wp:posOffset>
                </wp:positionH>
                <wp:positionV relativeFrom="page">
                  <wp:posOffset>902970</wp:posOffset>
                </wp:positionV>
                <wp:extent cx="5929630" cy="70739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9630" cy="707390"/>
                        </a:xfrm>
                        <a:prstGeom prst="rect">
                          <a:avLst/>
                        </a:prstGeom>
                        <a:noFill/>
                        <a:ln>
                          <a:noFill/>
                        </a:ln>
                        <a:effectLst/>
                        <a:extLst>
                          <a:ext uri="{FAA26D3D-D897-4be2-8F04-BA451C77F1D7}"/>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8D67A96" w14:textId="77777777" w:rsidR="005C5380" w:rsidRPr="00D62D12" w:rsidRDefault="005C5380" w:rsidP="00D660A9">
                            <w:pPr>
                              <w:pStyle w:val="LawWsDocumentTitleWhite"/>
                            </w:pPr>
                            <w:r w:rsidRPr="00D62D12">
                              <w:t xml:space="preserve">LawWorks Policy </w:t>
                            </w:r>
                          </w:p>
                          <w:p w14:paraId="3729C102" w14:textId="77777777" w:rsidR="005C5380" w:rsidRPr="00D62D12" w:rsidRDefault="005C5380" w:rsidP="00D660A9">
                            <w:pPr>
                              <w:pStyle w:val="LawWsDocumentTitleWhite"/>
                            </w:pPr>
                            <w:r w:rsidRPr="00D62D12">
                              <w:t>Consultation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111.25pt;margin-top:71.1pt;width:466.9pt;height:55.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" o:allowoverlap="f" filled="f" stroked="f">
                <v:path arrowok="t"/>
                <v:textbox>
                  <w:txbxContent>
                    <w:p w14:paraId="58D67A96" w14:textId="77777777" w:rsidR="005C5380" w:rsidRPr="00D62D12" w:rsidRDefault="005C5380" w:rsidP="00D660A9">
                      <w:pPr>
                        <w:pStyle w:val="LawWsDocumentTitleWhite"/>
                      </w:pPr>
                      <w:proofErr w:type="spellStart"/>
                      <w:r w:rsidRPr="00D62D12">
                        <w:t>LawWorks</w:t>
                      </w:r>
                      <w:proofErr w:type="spellEnd"/>
                      <w:r w:rsidRPr="00D62D12">
                        <w:t xml:space="preserve"> Policy </w:t>
                      </w:r>
                    </w:p>
                    <w:p w14:paraId="3729C102" w14:textId="77777777" w:rsidR="005C5380" w:rsidRPr="00D62D12" w:rsidRDefault="005C5380" w:rsidP="00D660A9">
                      <w:pPr>
                        <w:pStyle w:val="LawWsDocumentTitleWhite"/>
                      </w:pPr>
                      <w:r w:rsidRPr="00D62D12">
                        <w:t>Consultation Response</w:t>
                      </w:r>
                    </w:p>
                  </w:txbxContent>
                </v:textbox>
                <w10:wrap anchorx="page" anchory="page"/>
              </v:shape>
            </w:pict>
          </mc:Fallback>
        </mc:AlternateContent>
      </w:r>
    </w:p>
    <w:p w14:paraId="3D6482B8" w14:textId="77777777" w:rsidR="005C3DEF" w:rsidRDefault="00693B30" w:rsidP="00693B30">
      <w:pPr>
        <w:pStyle w:val="LawWsParagraphHeading"/>
        <w:spacing w:line="240" w:lineRule="auto"/>
      </w:pPr>
      <w:r>
        <w:t>Introduction</w:t>
      </w:r>
    </w:p>
    <w:p w14:paraId="53F7AEC6" w14:textId="77777777" w:rsidR="005C3DEF" w:rsidRDefault="005C3DEF" w:rsidP="00693B30">
      <w:pPr>
        <w:pStyle w:val="LawWsParagraphHeading"/>
        <w:spacing w:line="240" w:lineRule="auto"/>
      </w:pPr>
    </w:p>
    <w:p w14:paraId="5FF8CB47" w14:textId="07F97103" w:rsidR="00F93029" w:rsidRDefault="00693B30" w:rsidP="003B10DE">
      <w:pPr>
        <w:spacing w:line="240" w:lineRule="auto"/>
      </w:pPr>
      <w:r>
        <w:t>LawWorks</w:t>
      </w:r>
      <w:r w:rsidR="00F93029">
        <w:t xml:space="preserve"> is pleased to respond to this important review which may</w:t>
      </w:r>
      <w:r w:rsidR="00726C1A">
        <w:t xml:space="preserve"> lay</w:t>
      </w:r>
      <w:r w:rsidR="00F93029">
        <w:t xml:space="preserve"> the groundwork for a new framework for employment rights in the next Parliament. With a rapidly changing </w:t>
      </w:r>
      <w:r w:rsidR="00726C1A">
        <w:t xml:space="preserve">labour </w:t>
      </w:r>
      <w:r w:rsidR="00F93029">
        <w:t xml:space="preserve">market there </w:t>
      </w:r>
      <w:r w:rsidR="00EB730C">
        <w:t xml:space="preserve">is </w:t>
      </w:r>
      <w:r w:rsidR="00F93029">
        <w:t xml:space="preserve">growing demand for </w:t>
      </w:r>
      <w:r w:rsidR="009E3FCE">
        <w:t>greater transparency, clarity, information and advice about different work practices and the rights and obligations that they accrue.</w:t>
      </w:r>
      <w:r w:rsidR="00F93029">
        <w:t xml:space="preserve"> In </w:t>
      </w:r>
      <w:r w:rsidR="00726C1A">
        <w:t>addressing</w:t>
      </w:r>
      <w:r w:rsidR="00F93029">
        <w:t xml:space="preserve"> the questions posed by this review, we are limiting our response </w:t>
      </w:r>
      <w:r w:rsidR="009E3FCE">
        <w:t xml:space="preserve">principally </w:t>
      </w:r>
      <w:r w:rsidR="00F93029">
        <w:t>to issues concerning the legal and regulatory framework</w:t>
      </w:r>
      <w:r w:rsidR="00A36EB5">
        <w:t>, and issues relating to access to justice and redress,</w:t>
      </w:r>
      <w:r w:rsidR="00F93029">
        <w:t xml:space="preserve"> rather than broader labour </w:t>
      </w:r>
      <w:r w:rsidR="00726C1A">
        <w:t xml:space="preserve">market </w:t>
      </w:r>
      <w:r w:rsidR="00F93029">
        <w:t>policy issues. We are therefore focussing this response on</w:t>
      </w:r>
      <w:r w:rsidR="00A36EB5">
        <w:t xml:space="preserve"> the sections of the review concerning</w:t>
      </w:r>
      <w:r w:rsidR="00F93029">
        <w:t>:-</w:t>
      </w:r>
    </w:p>
    <w:p w14:paraId="669B4B77" w14:textId="77777777" w:rsidR="00F93029" w:rsidRDefault="00F93029" w:rsidP="003B10DE">
      <w:pPr>
        <w:pStyle w:val="ListParagraph"/>
        <w:numPr>
          <w:ilvl w:val="0"/>
          <w:numId w:val="26"/>
        </w:numPr>
        <w:spacing w:line="240" w:lineRule="auto"/>
        <w:ind w:left="426" w:hanging="284"/>
      </w:pPr>
      <w:r w:rsidRPr="00F93029">
        <w:t>Security, pay and rights</w:t>
      </w:r>
    </w:p>
    <w:p w14:paraId="6EAB0AEA" w14:textId="77777777" w:rsidR="00F93029" w:rsidRDefault="00F93029" w:rsidP="003B10DE">
      <w:pPr>
        <w:pStyle w:val="ListParagraph"/>
        <w:numPr>
          <w:ilvl w:val="0"/>
          <w:numId w:val="26"/>
        </w:numPr>
        <w:spacing w:line="240" w:lineRule="auto"/>
        <w:ind w:left="426" w:hanging="284"/>
      </w:pPr>
      <w:r>
        <w:t>The balance of rights and responsibilities</w:t>
      </w:r>
      <w:r w:rsidRPr="00F93029">
        <w:t xml:space="preserve"> </w:t>
      </w:r>
      <w:r>
        <w:t xml:space="preserve">  </w:t>
      </w:r>
    </w:p>
    <w:p w14:paraId="32CEA86C" w14:textId="77777777" w:rsidR="00693B30" w:rsidRDefault="00693B30" w:rsidP="00F93029">
      <w:pPr>
        <w:spacing w:line="240" w:lineRule="auto"/>
      </w:pPr>
    </w:p>
    <w:p w14:paraId="3D2002FD" w14:textId="77777777" w:rsidR="00693B30" w:rsidRDefault="00693B30" w:rsidP="00693B30">
      <w:pPr>
        <w:pStyle w:val="LawWsParagraphHeading"/>
        <w:spacing w:line="240" w:lineRule="auto"/>
      </w:pPr>
      <w:r>
        <w:t>About LawWorks</w:t>
      </w:r>
    </w:p>
    <w:p w14:paraId="101F6FE4" w14:textId="77777777" w:rsidR="00693B30" w:rsidRDefault="00693B30" w:rsidP="00693B30">
      <w:pPr>
        <w:pStyle w:val="LawWsParagraphHeading"/>
        <w:spacing w:line="240" w:lineRule="auto"/>
      </w:pPr>
    </w:p>
    <w:p w14:paraId="21143859" w14:textId="77777777" w:rsidR="00361C01" w:rsidRDefault="00693B30" w:rsidP="00693B30">
      <w:pPr>
        <w:spacing w:line="240" w:lineRule="auto"/>
        <w:rPr>
          <w:rFonts w:cs="Arial"/>
        </w:rPr>
      </w:pPr>
      <w:r>
        <w:rPr>
          <w:rFonts w:cs="Arial"/>
        </w:rPr>
        <w:t>LawWorks is the operating name of the Solicitors Pro Bono Group, an independent charity which offers a range of consultancy and brokerage services to bring together lawyers who are prepared to give their time without charge and individuals and community groups in need of legal advice and support.</w:t>
      </w:r>
      <w:r w:rsidR="00F93029">
        <w:rPr>
          <w:rFonts w:cs="Arial"/>
        </w:rPr>
        <w:t xml:space="preserve"> </w:t>
      </w:r>
      <w:r w:rsidR="00F93029" w:rsidRPr="00F93029">
        <w:rPr>
          <w:rFonts w:cs="Arial"/>
        </w:rPr>
        <w:t xml:space="preserve">LawWorks has 20 years of experience in </w:t>
      </w:r>
      <w:r w:rsidR="006A01EC">
        <w:rPr>
          <w:rFonts w:cs="Arial"/>
        </w:rPr>
        <w:t xml:space="preserve">supporting </w:t>
      </w:r>
      <w:r w:rsidR="00F93029" w:rsidRPr="00F93029">
        <w:rPr>
          <w:rFonts w:cs="Arial"/>
        </w:rPr>
        <w:t>pro bono cl</w:t>
      </w:r>
      <w:r w:rsidR="001F5508">
        <w:rPr>
          <w:rFonts w:cs="Arial"/>
        </w:rPr>
        <w:t>inics and has seen the impact that</w:t>
      </w:r>
      <w:r w:rsidR="00F93029" w:rsidRPr="00F93029">
        <w:rPr>
          <w:rFonts w:cs="Arial"/>
        </w:rPr>
        <w:t xml:space="preserve"> good quality, timely legal advice </w:t>
      </w:r>
      <w:r w:rsidR="006A01EC">
        <w:rPr>
          <w:rFonts w:cs="Arial"/>
        </w:rPr>
        <w:t xml:space="preserve">has </w:t>
      </w:r>
      <w:r w:rsidR="00F93029" w:rsidRPr="00F93029">
        <w:rPr>
          <w:rFonts w:cs="Arial"/>
        </w:rPr>
        <w:t>on cli</w:t>
      </w:r>
      <w:r w:rsidR="001F5508">
        <w:rPr>
          <w:rFonts w:cs="Arial"/>
        </w:rPr>
        <w:t xml:space="preserve">ents’ wellbeing in dealing with employment </w:t>
      </w:r>
      <w:r w:rsidR="006A01EC">
        <w:rPr>
          <w:rFonts w:cs="Arial"/>
        </w:rPr>
        <w:t>issues</w:t>
      </w:r>
      <w:r w:rsidR="001F5508">
        <w:rPr>
          <w:rFonts w:cs="Arial"/>
        </w:rPr>
        <w:t xml:space="preserve"> and other related legal and money matters.</w:t>
      </w:r>
      <w:r w:rsidR="00C72EDC">
        <w:rPr>
          <w:rFonts w:cs="Arial"/>
        </w:rPr>
        <w:t xml:space="preserve"> </w:t>
      </w:r>
    </w:p>
    <w:p w14:paraId="1FC282DA" w14:textId="77777777" w:rsidR="00361C01" w:rsidRDefault="00361C01" w:rsidP="00693B30">
      <w:pPr>
        <w:spacing w:line="240" w:lineRule="auto"/>
        <w:rPr>
          <w:rFonts w:cs="Arial"/>
        </w:rPr>
      </w:pPr>
    </w:p>
    <w:p w14:paraId="0422BAD8" w14:textId="34578BF6" w:rsidR="00693B30" w:rsidRDefault="006A01EC" w:rsidP="00693B30">
      <w:pPr>
        <w:spacing w:line="240" w:lineRule="auto"/>
        <w:rPr>
          <w:rFonts w:cs="Arial"/>
        </w:rPr>
      </w:pPr>
      <w:r>
        <w:rPr>
          <w:rFonts w:cs="Arial"/>
        </w:rPr>
        <w:t>LawWorks supports a network of over 220 independent pro bono clinics across England and Wales, with several clinics providing specialis</w:t>
      </w:r>
      <w:r w:rsidR="00A353EF">
        <w:rPr>
          <w:rFonts w:cs="Arial"/>
        </w:rPr>
        <w:t>t advice an</w:t>
      </w:r>
      <w:r>
        <w:rPr>
          <w:rFonts w:cs="Arial"/>
        </w:rPr>
        <w:t xml:space="preserve">d </w:t>
      </w:r>
      <w:r w:rsidR="00361C01">
        <w:rPr>
          <w:rFonts w:cs="Arial"/>
        </w:rPr>
        <w:t xml:space="preserve">support on employment matters. </w:t>
      </w:r>
      <w:r w:rsidR="000D5492">
        <w:rPr>
          <w:rFonts w:cs="Arial"/>
        </w:rPr>
        <w:t xml:space="preserve"> </w:t>
      </w:r>
      <w:r>
        <w:rPr>
          <w:rFonts w:cs="Arial"/>
        </w:rPr>
        <w:t>Over 17% of enquiries received by clinics in the network were employment law related</w:t>
      </w:r>
      <w:r w:rsidR="000D5492">
        <w:rPr>
          <w:rFonts w:cs="Arial"/>
        </w:rPr>
        <w:t>, and in the previous year (April 2014 – March 2015) t</w:t>
      </w:r>
      <w:r w:rsidR="000D5492" w:rsidRPr="000D5492">
        <w:rPr>
          <w:rFonts w:cs="Arial"/>
        </w:rPr>
        <w:t xml:space="preserve">here was a </w:t>
      </w:r>
      <w:r w:rsidR="00E35916">
        <w:rPr>
          <w:rFonts w:cs="Arial"/>
        </w:rPr>
        <w:t>near 50</w:t>
      </w:r>
      <w:r w:rsidR="000D5492" w:rsidRPr="000D5492">
        <w:rPr>
          <w:rFonts w:cs="Arial"/>
        </w:rPr>
        <w:t>% increase in employment advice taking place at clinics</w:t>
      </w:r>
      <w:r w:rsidR="005C60AB">
        <w:rPr>
          <w:rFonts w:cs="Arial"/>
        </w:rPr>
        <w:t xml:space="preserve"> demonstrating growing demand in this area.</w:t>
      </w:r>
    </w:p>
    <w:p w14:paraId="4366952F" w14:textId="77777777" w:rsidR="005C3DEF" w:rsidRDefault="005C3DEF" w:rsidP="00693B30">
      <w:pPr>
        <w:pStyle w:val="LawWsParagraphHeading"/>
        <w:spacing w:line="240" w:lineRule="auto"/>
      </w:pPr>
    </w:p>
    <w:p w14:paraId="51760610" w14:textId="77777777" w:rsidR="008379D0" w:rsidRDefault="007005A2" w:rsidP="00693B30">
      <w:pPr>
        <w:pStyle w:val="LawWsParagraphHeading"/>
        <w:spacing w:line="240" w:lineRule="auto"/>
      </w:pPr>
      <w:proofErr w:type="spellStart"/>
      <w:r>
        <w:t>LawWork’s</w:t>
      </w:r>
      <w:proofErr w:type="spellEnd"/>
      <w:r>
        <w:t xml:space="preserve"> </w:t>
      </w:r>
      <w:r w:rsidR="005C3280">
        <w:t xml:space="preserve">overall </w:t>
      </w:r>
      <w:r>
        <w:t xml:space="preserve">view on </w:t>
      </w:r>
      <w:r w:rsidR="00F93029">
        <w:t>employment rights</w:t>
      </w:r>
    </w:p>
    <w:p w14:paraId="37D3736C" w14:textId="77777777" w:rsidR="008379D0" w:rsidRDefault="008379D0" w:rsidP="00693B30">
      <w:pPr>
        <w:spacing w:line="240" w:lineRule="auto"/>
      </w:pPr>
    </w:p>
    <w:p w14:paraId="45FFC762" w14:textId="009D7F5D" w:rsidR="00A63E91" w:rsidRDefault="005C3DEF" w:rsidP="00873474">
      <w:pPr>
        <w:spacing w:line="240" w:lineRule="auto"/>
      </w:pPr>
      <w:r>
        <w:t>We welcome this consultation</w:t>
      </w:r>
      <w:r w:rsidR="00234B5A">
        <w:t xml:space="preserve"> </w:t>
      </w:r>
      <w:r w:rsidR="00006EF9">
        <w:t xml:space="preserve">process </w:t>
      </w:r>
      <w:r w:rsidR="00234B5A">
        <w:t xml:space="preserve">and </w:t>
      </w:r>
      <w:r w:rsidR="00006EF9">
        <w:t xml:space="preserve">independent </w:t>
      </w:r>
      <w:r w:rsidR="00234B5A">
        <w:t>review</w:t>
      </w:r>
      <w:r w:rsidR="00006EF9">
        <w:t>, building on existing work undertaken by the Royal Society</w:t>
      </w:r>
      <w:r w:rsidR="00AD0C80">
        <w:t xml:space="preserve"> of Arts (RSA) on the changing labour m</w:t>
      </w:r>
      <w:r w:rsidR="00006EF9">
        <w:t>arket.</w:t>
      </w:r>
      <w:r w:rsidR="00234B5A">
        <w:t xml:space="preserve"> </w:t>
      </w:r>
      <w:r w:rsidR="00873474" w:rsidRPr="00873474">
        <w:t>Recent evidence from Citizens Advice shows that 4.5 million people in the UK are in insecur</w:t>
      </w:r>
      <w:r w:rsidR="00AD0C80">
        <w:t xml:space="preserve">e work including 800,000 with zero </w:t>
      </w:r>
      <w:r w:rsidR="00873474" w:rsidRPr="00873474">
        <w:t>hours or agency contacts, 1.1 million with temporary contracts and over 2.3 million working variable shift patterns.</w:t>
      </w:r>
      <w:r w:rsidR="00544327">
        <w:rPr>
          <w:rStyle w:val="EndnoteReference"/>
        </w:rPr>
        <w:endnoteReference w:id="1"/>
      </w:r>
      <w:r w:rsidR="00873474" w:rsidRPr="00873474">
        <w:t xml:space="preserve"> The </w:t>
      </w:r>
      <w:r w:rsidR="006A01EC">
        <w:t xml:space="preserve">Citizens Advice </w:t>
      </w:r>
      <w:r w:rsidR="00873474" w:rsidRPr="00873474">
        <w:t>briefing states that “despite record employment rates, the persistence of insecure work leaves many households at risk of economic shocks and</w:t>
      </w:r>
      <w:r w:rsidR="00873474">
        <w:t xml:space="preserve"> unable to plan for the future.”</w:t>
      </w:r>
      <w:r w:rsidR="00A63E91">
        <w:t xml:space="preserve"> This </w:t>
      </w:r>
      <w:r w:rsidR="00316922">
        <w:t xml:space="preserve">is </w:t>
      </w:r>
      <w:r w:rsidR="00A63E91">
        <w:t>a major chal</w:t>
      </w:r>
      <w:r w:rsidR="00316922">
        <w:t>lenge and points to the need to strengthen</w:t>
      </w:r>
      <w:r w:rsidR="00A63E91">
        <w:t xml:space="preserve"> the framework of protective rights and standards around different models of employment. </w:t>
      </w:r>
    </w:p>
    <w:p w14:paraId="0090C995" w14:textId="77777777" w:rsidR="00A63E91" w:rsidRDefault="00A63E91" w:rsidP="00873474">
      <w:pPr>
        <w:spacing w:line="240" w:lineRule="auto"/>
      </w:pPr>
    </w:p>
    <w:p w14:paraId="4D91F779" w14:textId="2B430A97" w:rsidR="00A63E91" w:rsidRDefault="00A63E91" w:rsidP="00873474">
      <w:pPr>
        <w:spacing w:line="240" w:lineRule="auto"/>
      </w:pPr>
      <w:r>
        <w:t>At the same time the self-employed are a large and growing part of the UK labour force. Five million people—15% of workers—are now self-employed, and the expansion of self-employment has played a significant part in achieving current record employment levels.</w:t>
      </w:r>
      <w:r w:rsidR="00ED1E2F">
        <w:rPr>
          <w:rStyle w:val="EndnoteReference"/>
        </w:rPr>
        <w:endnoteReference w:id="2"/>
      </w:r>
      <w:r>
        <w:t xml:space="preserve"> With new technology facilitating the growth of the</w:t>
      </w:r>
      <w:r w:rsidR="00933167">
        <w:t xml:space="preserve"> so called</w:t>
      </w:r>
      <w:r>
        <w:t xml:space="preserve"> “gig economy</w:t>
      </w:r>
      <w:r w:rsidR="00A353EF">
        <w:t>”</w:t>
      </w:r>
      <w:r w:rsidR="00BA3B1E">
        <w:t xml:space="preserve"> </w:t>
      </w:r>
      <w:r>
        <w:t>(see DWP Select Committee definition)</w:t>
      </w:r>
      <w:r w:rsidR="00BA3B1E">
        <w:t>,</w:t>
      </w:r>
      <w:r>
        <w:rPr>
          <w:rStyle w:val="EndnoteReference"/>
        </w:rPr>
        <w:endnoteReference w:id="3"/>
      </w:r>
      <w:r>
        <w:t xml:space="preserve"> the </w:t>
      </w:r>
      <w:r w:rsidRPr="00873474">
        <w:t>nature of work in many sectors</w:t>
      </w:r>
      <w:r>
        <w:t xml:space="preserve"> is changing which has led to both positive developments and opportunities with many of the benefits that go with flexible working, but often at the expense of security. There are now an estimated 1.1 million people in Britain’s gig economy.</w:t>
      </w:r>
      <w:r>
        <w:rPr>
          <w:rStyle w:val="EndnoteReference"/>
        </w:rPr>
        <w:endnoteReference w:id="4"/>
      </w:r>
      <w:r>
        <w:t xml:space="preserve"> </w:t>
      </w:r>
    </w:p>
    <w:p w14:paraId="73CFCC73" w14:textId="77777777" w:rsidR="00A63E91" w:rsidRDefault="00A63E91" w:rsidP="00873474">
      <w:pPr>
        <w:spacing w:line="240" w:lineRule="auto"/>
      </w:pPr>
    </w:p>
    <w:p w14:paraId="05E347E0" w14:textId="531E7375" w:rsidR="003B10DE" w:rsidRPr="003B10DE" w:rsidRDefault="00A63E91" w:rsidP="00873474">
      <w:pPr>
        <w:spacing w:line="240" w:lineRule="auto"/>
      </w:pPr>
      <w:r>
        <w:t>Employment rights therefore need to strike the right balance between secur</w:t>
      </w:r>
      <w:r w:rsidR="007A0183">
        <w:t xml:space="preserve">ity, flexibility and innovation, recognising the structural changes that have taken place in the labour market </w:t>
      </w:r>
      <w:r w:rsidR="00592C5D">
        <w:t>but striving for higher standards and legal certainty. Whatever individuals’</w:t>
      </w:r>
      <w:r>
        <w:t xml:space="preserve"> </w:t>
      </w:r>
      <w:r>
        <w:lastRenderedPageBreak/>
        <w:t>precise status in the labour market</w:t>
      </w:r>
      <w:r w:rsidR="00BA3B1E">
        <w:t>,</w:t>
      </w:r>
      <w:r>
        <w:t xml:space="preserve"> people need transparency, information and advice about what their rights and legal position may be in any particular context and relationship. With employment law issues having been</w:t>
      </w:r>
      <w:r w:rsidRPr="007974CF">
        <w:t xml:space="preserve"> </w:t>
      </w:r>
      <w:r>
        <w:t xml:space="preserve">virtually </w:t>
      </w:r>
      <w:r w:rsidRPr="007974CF">
        <w:t xml:space="preserve">removed </w:t>
      </w:r>
      <w:r>
        <w:t>from the scope of legal aid (</w:t>
      </w:r>
      <w:r w:rsidRPr="007974CF">
        <w:t>only cases involving human trafficking or a contravention of the Equality Act 2010 now qualify</w:t>
      </w:r>
      <w:r>
        <w:t>), such specialist advice is often in short supply. The information and support available through ACAS</w:t>
      </w:r>
      <w:r w:rsidR="003B10DE">
        <w:t>, whilst important and valued</w:t>
      </w:r>
      <w:r w:rsidR="00E35916">
        <w:t>,</w:t>
      </w:r>
      <w:r w:rsidR="003B10DE">
        <w:t xml:space="preserve"> can be</w:t>
      </w:r>
      <w:r>
        <w:t xml:space="preserve"> insufficient to address the complexity of modern employment relationships</w:t>
      </w:r>
      <w:r w:rsidR="003B10DE">
        <w:t>.</w:t>
      </w:r>
      <w:r w:rsidR="00AD1E2A">
        <w:rPr>
          <w:rStyle w:val="EndnoteReference"/>
        </w:rPr>
        <w:endnoteReference w:id="5"/>
      </w:r>
      <w:r w:rsidR="00AD1E2A">
        <w:t xml:space="preserve"> </w:t>
      </w:r>
      <w:r w:rsidR="003B10DE">
        <w:t xml:space="preserve">According to a recent report by the Universities of Bristol and Strathclyde on </w:t>
      </w:r>
      <w:r w:rsidR="003B10DE" w:rsidRPr="003B10DE">
        <w:rPr>
          <w:i/>
        </w:rPr>
        <w:t>Citizens Advice Bureaux clients and advisers’ perceptions of A</w:t>
      </w:r>
      <w:r w:rsidR="003B10DE">
        <w:rPr>
          <w:i/>
        </w:rPr>
        <w:t>CAS</w:t>
      </w:r>
      <w:r w:rsidR="003B10DE" w:rsidRPr="003B10DE">
        <w:t>, having independent legal advice is important</w:t>
      </w:r>
      <w:r w:rsidR="00515307" w:rsidRPr="00515307">
        <w:t xml:space="preserve"> for CAB </w:t>
      </w:r>
      <w:r w:rsidR="00515307">
        <w:t>clients to make the most of ACAS</w:t>
      </w:r>
      <w:r w:rsidR="00515307" w:rsidRPr="00515307">
        <w:t xml:space="preserve"> conciliatio</w:t>
      </w:r>
      <w:r w:rsidR="00515307">
        <w:t>n.</w:t>
      </w:r>
      <w:r w:rsidR="00515307">
        <w:rPr>
          <w:rStyle w:val="EndnoteReference"/>
        </w:rPr>
        <w:endnoteReference w:id="6"/>
      </w:r>
    </w:p>
    <w:p w14:paraId="7B4905A8" w14:textId="77777777" w:rsidR="003B10DE" w:rsidRDefault="003B10DE" w:rsidP="00873474">
      <w:pPr>
        <w:spacing w:line="240" w:lineRule="auto"/>
      </w:pPr>
    </w:p>
    <w:p w14:paraId="3B6B0175" w14:textId="77777777" w:rsidR="00A63E91" w:rsidRDefault="00A63E91" w:rsidP="00873474">
      <w:pPr>
        <w:spacing w:line="240" w:lineRule="auto"/>
      </w:pPr>
      <w:r>
        <w:t xml:space="preserve">We would also like to highlight the huge injustice and barriers presented by the high tribunal fee levels for wronged employees seeking redress. </w:t>
      </w:r>
      <w:r w:rsidRPr="008629BF">
        <w:t>Sin</w:t>
      </w:r>
      <w:r>
        <w:t>ce 2013 employees who may</w:t>
      </w:r>
      <w:r w:rsidRPr="008629BF">
        <w:t xml:space="preserve"> have been wronged by their employer—underpaid or dismissed unfairly, for instance—have </w:t>
      </w:r>
      <w:r>
        <w:t>had to pay up to £1,200</w:t>
      </w:r>
      <w:r w:rsidRPr="008629BF">
        <w:t xml:space="preserve"> to go to an employment tribunal, which was previously free.</w:t>
      </w:r>
    </w:p>
    <w:p w14:paraId="1323B010" w14:textId="77777777" w:rsidR="00A63E91" w:rsidRDefault="00A63E91" w:rsidP="00873474">
      <w:pPr>
        <w:spacing w:line="240" w:lineRule="auto"/>
      </w:pPr>
    </w:p>
    <w:p w14:paraId="5B25FF06" w14:textId="77777777" w:rsidR="00A63E91" w:rsidRDefault="00A63E91" w:rsidP="00873474">
      <w:pPr>
        <w:spacing w:line="240" w:lineRule="auto"/>
      </w:pPr>
      <w:r>
        <w:t>The key issues that we would like to see the review address include:-</w:t>
      </w:r>
    </w:p>
    <w:p w14:paraId="5BB55F45" w14:textId="77777777" w:rsidR="00A63E91" w:rsidRDefault="00A63E91" w:rsidP="00873474">
      <w:pPr>
        <w:spacing w:line="240" w:lineRule="auto"/>
      </w:pPr>
    </w:p>
    <w:p w14:paraId="5814CEF4" w14:textId="524042E5" w:rsidR="00A63E91" w:rsidRDefault="00A63E91" w:rsidP="00372A4F">
      <w:pPr>
        <w:pStyle w:val="ListParagraph"/>
        <w:numPr>
          <w:ilvl w:val="0"/>
          <w:numId w:val="27"/>
        </w:numPr>
        <w:spacing w:line="240" w:lineRule="auto"/>
        <w:ind w:left="567" w:hanging="283"/>
      </w:pPr>
      <w:r>
        <w:t>The complexity of supply-chains leading to greater complexity of legal relationships -who is the employer and what rights follow or accrue</w:t>
      </w:r>
      <w:proofErr w:type="gramStart"/>
      <w:r>
        <w:t>?</w:t>
      </w:r>
      <w:r w:rsidR="00E35916">
        <w:t>;</w:t>
      </w:r>
      <w:proofErr w:type="gramEnd"/>
    </w:p>
    <w:p w14:paraId="31544E45" w14:textId="06531A8B" w:rsidR="00A63E91" w:rsidRDefault="00A63E91" w:rsidP="00372A4F">
      <w:pPr>
        <w:pStyle w:val="ListParagraph"/>
        <w:numPr>
          <w:ilvl w:val="0"/>
          <w:numId w:val="27"/>
        </w:numPr>
        <w:spacing w:line="240" w:lineRule="auto"/>
        <w:ind w:left="567" w:hanging="283"/>
      </w:pPr>
      <w:r>
        <w:t>The divergence of</w:t>
      </w:r>
      <w:r w:rsidR="00B473D7">
        <w:t xml:space="preserve"> working practices across different sectors leading to a significant contrast between those employees enjoying a suite of rights and those</w:t>
      </w:r>
      <w:r>
        <w:t xml:space="preserve"> wo</w:t>
      </w:r>
      <w:r w:rsidR="00B473D7">
        <w:t>rking in the informal</w:t>
      </w:r>
      <w:r w:rsidR="009C7DFE">
        <w:t xml:space="preserve"> economy</w:t>
      </w:r>
      <w:r w:rsidR="00E35916">
        <w:t>;</w:t>
      </w:r>
    </w:p>
    <w:p w14:paraId="0A4B6890" w14:textId="1CED09BC" w:rsidR="00A63E91" w:rsidRDefault="00A63E91" w:rsidP="00372A4F">
      <w:pPr>
        <w:pStyle w:val="ListParagraph"/>
        <w:numPr>
          <w:ilvl w:val="0"/>
          <w:numId w:val="27"/>
        </w:numPr>
        <w:spacing w:line="240" w:lineRule="auto"/>
        <w:ind w:left="567" w:hanging="283"/>
      </w:pPr>
      <w:r>
        <w:t>The insufficient enforcement of existing rights and/or proactive action being taken against rogue employers and exploitative practices</w:t>
      </w:r>
      <w:r w:rsidR="00E35916">
        <w:t>;</w:t>
      </w:r>
    </w:p>
    <w:p w14:paraId="09F71855" w14:textId="4C9B2AEB" w:rsidR="00A63E91" w:rsidRDefault="00A63E91" w:rsidP="00372A4F">
      <w:pPr>
        <w:pStyle w:val="ListParagraph"/>
        <w:numPr>
          <w:ilvl w:val="0"/>
          <w:numId w:val="27"/>
        </w:numPr>
        <w:spacing w:line="240" w:lineRule="auto"/>
        <w:ind w:left="567" w:hanging="283"/>
      </w:pPr>
      <w:r>
        <w:t>The costs of redress and the challenge of access to justice</w:t>
      </w:r>
      <w:r w:rsidR="00E35916">
        <w:t>;</w:t>
      </w:r>
    </w:p>
    <w:p w14:paraId="676D3B4F" w14:textId="77777777" w:rsidR="00A63E91" w:rsidRDefault="00A63E91" w:rsidP="00372A4F">
      <w:pPr>
        <w:pStyle w:val="ListParagraph"/>
        <w:numPr>
          <w:ilvl w:val="0"/>
          <w:numId w:val="27"/>
        </w:numPr>
        <w:spacing w:line="240" w:lineRule="auto"/>
        <w:ind w:left="567" w:hanging="283"/>
      </w:pPr>
      <w:r>
        <w:t>The strong case for better social protection for those with more precarious employment.</w:t>
      </w:r>
    </w:p>
    <w:p w14:paraId="64893C02" w14:textId="77777777" w:rsidR="00A63E91" w:rsidRDefault="00A63E91" w:rsidP="00873474">
      <w:pPr>
        <w:spacing w:line="240" w:lineRule="auto"/>
      </w:pPr>
    </w:p>
    <w:p w14:paraId="7FD011A8" w14:textId="77CA46FE" w:rsidR="00A63E91" w:rsidRDefault="00A63E91" w:rsidP="004369C4">
      <w:pPr>
        <w:spacing w:line="240" w:lineRule="auto"/>
      </w:pPr>
      <w:r>
        <w:t xml:space="preserve">In taking these issues forward we believe that the review should be taking the following overall steps and approach: </w:t>
      </w:r>
    </w:p>
    <w:p w14:paraId="6C4260AD" w14:textId="02975860" w:rsidR="00A63E91" w:rsidRDefault="00A63E91" w:rsidP="00372A4F">
      <w:pPr>
        <w:pStyle w:val="ListParagraph"/>
        <w:numPr>
          <w:ilvl w:val="0"/>
          <w:numId w:val="29"/>
        </w:numPr>
        <w:spacing w:line="240" w:lineRule="auto"/>
        <w:ind w:left="567" w:hanging="283"/>
      </w:pPr>
      <w:r>
        <w:t>Establishing a baseline of minimum standards to achieve more equalised treatment across the</w:t>
      </w:r>
      <w:r w:rsidR="00BE36C9">
        <w:t xml:space="preserve"> various working arrangements</w:t>
      </w:r>
      <w:r w:rsidR="00E35916">
        <w:t>;</w:t>
      </w:r>
    </w:p>
    <w:p w14:paraId="4983B66C" w14:textId="0325FA93" w:rsidR="00A63E91" w:rsidRDefault="00A63E91" w:rsidP="00372A4F">
      <w:pPr>
        <w:pStyle w:val="ListParagraph"/>
        <w:numPr>
          <w:ilvl w:val="0"/>
          <w:numId w:val="29"/>
        </w:numPr>
        <w:spacing w:line="240" w:lineRule="auto"/>
        <w:ind w:left="567" w:hanging="283"/>
      </w:pPr>
      <w:r>
        <w:t xml:space="preserve">Taking an overall </w:t>
      </w:r>
      <w:r w:rsidR="00C45AB7">
        <w:t>view of the share of the labour market</w:t>
      </w:r>
      <w:r>
        <w:t xml:space="preserve"> </w:t>
      </w:r>
      <w:r w:rsidR="00BE36C9">
        <w:t xml:space="preserve">that should be covered by </w:t>
      </w:r>
      <w:r w:rsidR="00B85512">
        <w:t xml:space="preserve">employment law </w:t>
      </w:r>
      <w:r w:rsidR="00BE36C9">
        <w:t>protection,</w:t>
      </w:r>
      <w:r w:rsidR="005C2238">
        <w:t xml:space="preserve"> and promoting</w:t>
      </w:r>
      <w:r>
        <w:t xml:space="preserve"> transition from insecure to secure work</w:t>
      </w:r>
      <w:r w:rsidR="00E35916">
        <w:t>;</w:t>
      </w:r>
    </w:p>
    <w:p w14:paraId="5CFA2486" w14:textId="630A8682" w:rsidR="00A63E91" w:rsidRDefault="00A63E91" w:rsidP="00372A4F">
      <w:pPr>
        <w:pStyle w:val="ListParagraph"/>
        <w:numPr>
          <w:ilvl w:val="0"/>
          <w:numId w:val="29"/>
        </w:numPr>
        <w:spacing w:line="240" w:lineRule="auto"/>
        <w:ind w:left="567" w:hanging="283"/>
      </w:pPr>
      <w:r>
        <w:t>Reviewing statutory presumptions as to “worker” status</w:t>
      </w:r>
      <w:r w:rsidR="00E35916">
        <w:t>;</w:t>
      </w:r>
      <w:r>
        <w:t xml:space="preserve"> </w:t>
      </w:r>
    </w:p>
    <w:p w14:paraId="035819FA" w14:textId="2612855F" w:rsidR="00A63E91" w:rsidRDefault="00A63E91" w:rsidP="00372A4F">
      <w:pPr>
        <w:pStyle w:val="ListParagraph"/>
        <w:numPr>
          <w:ilvl w:val="0"/>
          <w:numId w:val="29"/>
        </w:numPr>
        <w:spacing w:line="240" w:lineRule="auto"/>
        <w:ind w:left="567" w:hanging="283"/>
      </w:pPr>
      <w:r>
        <w:t>Considering approaches to self-regulatory best practice and standards or ‘</w:t>
      </w:r>
      <w:proofErr w:type="spellStart"/>
      <w:r>
        <w:t>kitemarks</w:t>
      </w:r>
      <w:proofErr w:type="spellEnd"/>
      <w:r>
        <w:t>’ for informal work, and look at different approaches and options for regulating zero hours contracts</w:t>
      </w:r>
      <w:r w:rsidR="00E35916">
        <w:t>;</w:t>
      </w:r>
    </w:p>
    <w:p w14:paraId="65E93182" w14:textId="4A0F681E" w:rsidR="00A63E91" w:rsidRDefault="00A63E91" w:rsidP="00372A4F">
      <w:pPr>
        <w:pStyle w:val="ListParagraph"/>
        <w:numPr>
          <w:ilvl w:val="0"/>
          <w:numId w:val="29"/>
        </w:numPr>
        <w:spacing w:line="240" w:lineRule="auto"/>
        <w:ind w:left="567" w:hanging="283"/>
      </w:pPr>
      <w:r>
        <w:t>Build</w:t>
      </w:r>
      <w:r w:rsidR="005C2238">
        <w:t>ing</w:t>
      </w:r>
      <w:r>
        <w:t xml:space="preserve"> on the new arrangements and opportunities offered by the new Directorate of Labour Market Enforcement so that early action can be taken and exploitative practices can be </w:t>
      </w:r>
      <w:r w:rsidR="00E35916">
        <w:t xml:space="preserve">[addressed?] </w:t>
      </w:r>
      <w:r>
        <w:t>as they emerge.</w:t>
      </w:r>
    </w:p>
    <w:p w14:paraId="3E1D3014" w14:textId="77777777" w:rsidR="00A63E91" w:rsidRDefault="00A63E91" w:rsidP="00487E0F">
      <w:pPr>
        <w:spacing w:line="240" w:lineRule="auto"/>
      </w:pPr>
    </w:p>
    <w:p w14:paraId="00CA3FAB" w14:textId="2F93542C" w:rsidR="00A63E91" w:rsidRDefault="00A63E91" w:rsidP="00487E0F">
      <w:pPr>
        <w:spacing w:line="240" w:lineRule="auto"/>
      </w:pPr>
      <w:r>
        <w:t xml:space="preserve">The balance between security and flexibility, and rights and responsibilities will always be </w:t>
      </w:r>
      <w:r w:rsidR="00220620">
        <w:t xml:space="preserve">a </w:t>
      </w:r>
      <w:r>
        <w:t xml:space="preserve">difficult one </w:t>
      </w:r>
      <w:r w:rsidR="005C2238">
        <w:t xml:space="preserve">for policy makers concerned with the labour market </w:t>
      </w:r>
      <w:r w:rsidR="00220620">
        <w:t xml:space="preserve">to </w:t>
      </w:r>
      <w:r>
        <w:t>g</w:t>
      </w:r>
      <w:r w:rsidR="005C2238">
        <w:t>et righ</w:t>
      </w:r>
      <w:r w:rsidR="00E11CE1">
        <w:t>t. An</w:t>
      </w:r>
      <w:r w:rsidR="005C2238">
        <w:t xml:space="preserve"> important principle though is that</w:t>
      </w:r>
      <w:r>
        <w:t xml:space="preserve"> </w:t>
      </w:r>
      <w:r w:rsidR="00E11CE1">
        <w:t xml:space="preserve">where </w:t>
      </w:r>
      <w:r>
        <w:t>there are rights</w:t>
      </w:r>
      <w:r w:rsidR="00E11CE1">
        <w:t xml:space="preserve"> there must</w:t>
      </w:r>
      <w:r>
        <w:t xml:space="preserve"> be remedies</w:t>
      </w:r>
      <w:r w:rsidR="005C2238">
        <w:t>,</w:t>
      </w:r>
      <w:r>
        <w:t xml:space="preserve"> and the capacity and channels for the working population to be abl</w:t>
      </w:r>
      <w:r w:rsidR="00E11CE1">
        <w:t>e to enforce those rights – that</w:t>
      </w:r>
      <w:r>
        <w:t xml:space="preserve"> principle should be writ large in this r</w:t>
      </w:r>
      <w:r w:rsidR="00E11CE1">
        <w:t>eview</w:t>
      </w:r>
      <w:r>
        <w:t xml:space="preserve">. </w:t>
      </w:r>
    </w:p>
    <w:p w14:paraId="5439D8D7" w14:textId="4A408214" w:rsidR="007A0183" w:rsidRDefault="007A0183" w:rsidP="00487E0F">
      <w:pPr>
        <w:spacing w:line="240" w:lineRule="auto"/>
      </w:pPr>
    </w:p>
    <w:p w14:paraId="27CB082B" w14:textId="53E39263" w:rsidR="007A0183" w:rsidRDefault="007A0183" w:rsidP="00487E0F">
      <w:pPr>
        <w:spacing w:line="240" w:lineRule="auto"/>
      </w:pPr>
      <w:r>
        <w:t>Finally, as an overall comment on the review, in moving towards a final report and set of recommendations the review team should pay particular attention to the use of language and terminology, especially in respect of the legal context. Often the review uses terminology like “non-standard</w:t>
      </w:r>
      <w:r w:rsidR="00515307">
        <w:t xml:space="preserve"> forms of employment</w:t>
      </w:r>
      <w:r>
        <w:t>”</w:t>
      </w:r>
      <w:r w:rsidR="00515307">
        <w:t xml:space="preserve"> or “non-traditional” employment, flexible work and the “gig economy” that</w:t>
      </w:r>
      <w:r w:rsidR="00592C5D">
        <w:t xml:space="preserve"> can lack</w:t>
      </w:r>
      <w:r w:rsidR="00515307">
        <w:t xml:space="preserve"> precision.  </w:t>
      </w:r>
      <w:r>
        <w:t xml:space="preserve"> </w:t>
      </w:r>
    </w:p>
    <w:p w14:paraId="1DA1305D" w14:textId="77777777" w:rsidR="000F0F88" w:rsidRDefault="000F0F88" w:rsidP="00873474">
      <w:pPr>
        <w:spacing w:line="240" w:lineRule="auto"/>
        <w:rPr>
          <w:rFonts w:ascii="Verdana" w:hAnsi="Verdana"/>
          <w:b/>
          <w:bCs/>
          <w:color w:val="0086C1" w:themeColor="accent3"/>
          <w:sz w:val="26"/>
          <w:szCs w:val="22"/>
        </w:rPr>
      </w:pPr>
    </w:p>
    <w:p w14:paraId="181DC3DA" w14:textId="4BC92B03" w:rsidR="00A63E91" w:rsidRDefault="000F0F88" w:rsidP="00873474">
      <w:pPr>
        <w:spacing w:line="240" w:lineRule="auto"/>
      </w:pPr>
      <w:r>
        <w:rPr>
          <w:rFonts w:ascii="Verdana" w:hAnsi="Verdana"/>
          <w:b/>
          <w:bCs/>
          <w:color w:val="0086C1" w:themeColor="accent3"/>
          <w:sz w:val="26"/>
          <w:szCs w:val="22"/>
        </w:rPr>
        <w:lastRenderedPageBreak/>
        <w:br/>
      </w:r>
      <w:r w:rsidR="00A63E91" w:rsidRPr="007974CF">
        <w:rPr>
          <w:rFonts w:ascii="Verdana" w:hAnsi="Verdana"/>
          <w:b/>
          <w:bCs/>
          <w:color w:val="0086C1" w:themeColor="accent3"/>
          <w:sz w:val="26"/>
          <w:szCs w:val="22"/>
        </w:rPr>
        <w:t>Security, pay and rights</w:t>
      </w:r>
    </w:p>
    <w:p w14:paraId="48EF530B" w14:textId="77777777" w:rsidR="00A63E91" w:rsidRDefault="00A63E91" w:rsidP="00873474">
      <w:pPr>
        <w:spacing w:line="240" w:lineRule="auto"/>
      </w:pPr>
    </w:p>
    <w:p w14:paraId="4CA9A1DC" w14:textId="4A6E11A9" w:rsidR="00C26BC2" w:rsidRPr="009E7E5F" w:rsidRDefault="001B7FF2" w:rsidP="00F34325">
      <w:pPr>
        <w:pBdr>
          <w:top w:val="single" w:sz="4" w:space="1" w:color="auto"/>
          <w:left w:val="single" w:sz="4" w:space="4" w:color="auto"/>
          <w:bottom w:val="single" w:sz="4" w:space="1" w:color="auto"/>
          <w:right w:val="single" w:sz="4" w:space="4" w:color="auto"/>
        </w:pBdr>
        <w:spacing w:line="240" w:lineRule="auto"/>
        <w:rPr>
          <w:b/>
          <w:szCs w:val="22"/>
        </w:rPr>
      </w:pPr>
      <w:r w:rsidRPr="009E7E5F">
        <w:rPr>
          <w:b/>
          <w:szCs w:val="22"/>
        </w:rPr>
        <w:t>Consultation questions</w:t>
      </w:r>
    </w:p>
    <w:p w14:paraId="2051A676" w14:textId="77777777" w:rsidR="00A63E91" w:rsidRPr="009E7E5F" w:rsidRDefault="00A63E91" w:rsidP="00F34325">
      <w:pPr>
        <w:pBdr>
          <w:top w:val="single" w:sz="4" w:space="1" w:color="auto"/>
          <w:left w:val="single" w:sz="4" w:space="4" w:color="auto"/>
          <w:bottom w:val="single" w:sz="4" w:space="1" w:color="auto"/>
          <w:right w:val="single" w:sz="4" w:space="4" w:color="auto"/>
        </w:pBdr>
        <w:spacing w:line="240" w:lineRule="auto"/>
        <w:rPr>
          <w:b/>
          <w:i/>
          <w:sz w:val="20"/>
          <w:szCs w:val="20"/>
        </w:rPr>
      </w:pPr>
      <w:r w:rsidRPr="009E7E5F">
        <w:rPr>
          <w:b/>
          <w:i/>
          <w:sz w:val="20"/>
          <w:szCs w:val="20"/>
        </w:rPr>
        <w:t>To what extent do emerging business practices put pressure on the trade-off between flexible labour and benefits such as higher pay or greater work availability, so that workers lose out on all dimensions?</w:t>
      </w:r>
    </w:p>
    <w:p w14:paraId="776BD20F" w14:textId="77777777" w:rsidR="00A63E91" w:rsidRPr="009E7E5F" w:rsidRDefault="00A63E91" w:rsidP="00F34325">
      <w:pPr>
        <w:pBdr>
          <w:top w:val="single" w:sz="4" w:space="1" w:color="auto"/>
          <w:left w:val="single" w:sz="4" w:space="4" w:color="auto"/>
          <w:bottom w:val="single" w:sz="4" w:space="1" w:color="auto"/>
          <w:right w:val="single" w:sz="4" w:space="4" w:color="auto"/>
        </w:pBdr>
        <w:spacing w:line="240" w:lineRule="auto"/>
        <w:rPr>
          <w:b/>
          <w:i/>
          <w:sz w:val="20"/>
          <w:szCs w:val="20"/>
        </w:rPr>
      </w:pPr>
    </w:p>
    <w:p w14:paraId="7E667771" w14:textId="77777777" w:rsidR="00A63E91" w:rsidRPr="009E7E5F" w:rsidRDefault="00A63E91" w:rsidP="00F34325">
      <w:pPr>
        <w:pBdr>
          <w:top w:val="single" w:sz="4" w:space="1" w:color="auto"/>
          <w:left w:val="single" w:sz="4" w:space="4" w:color="auto"/>
          <w:bottom w:val="single" w:sz="4" w:space="1" w:color="auto"/>
          <w:right w:val="single" w:sz="4" w:space="4" w:color="auto"/>
        </w:pBdr>
        <w:spacing w:line="240" w:lineRule="auto"/>
        <w:rPr>
          <w:b/>
          <w:i/>
          <w:sz w:val="20"/>
          <w:szCs w:val="20"/>
        </w:rPr>
      </w:pPr>
      <w:r w:rsidRPr="009E7E5F">
        <w:rPr>
          <w:b/>
          <w:i/>
          <w:sz w:val="20"/>
          <w:szCs w:val="20"/>
        </w:rPr>
        <w:t xml:space="preserve">To what extent does the growth in non-standard forms of employment undermine the reach of policies like the National Living Wage, maternity and paternity rights, </w:t>
      </w:r>
      <w:proofErr w:type="gramStart"/>
      <w:r w:rsidRPr="009E7E5F">
        <w:rPr>
          <w:b/>
          <w:i/>
          <w:sz w:val="20"/>
          <w:szCs w:val="20"/>
        </w:rPr>
        <w:t>pensions</w:t>
      </w:r>
      <w:proofErr w:type="gramEnd"/>
      <w:r w:rsidRPr="009E7E5F">
        <w:rPr>
          <w:b/>
          <w:i/>
          <w:sz w:val="20"/>
          <w:szCs w:val="20"/>
        </w:rPr>
        <w:t xml:space="preserve"> auto-enrolment, sick pay, and holiday pay?</w:t>
      </w:r>
    </w:p>
    <w:p w14:paraId="3C011CC4" w14:textId="77777777" w:rsidR="00A63E91" w:rsidRDefault="00A63E91" w:rsidP="007974CF">
      <w:pPr>
        <w:spacing w:line="240" w:lineRule="auto"/>
      </w:pPr>
    </w:p>
    <w:p w14:paraId="11B968A4" w14:textId="781145B8" w:rsidR="00A63E91" w:rsidRDefault="00A63E91" w:rsidP="007974CF">
      <w:pPr>
        <w:spacing w:line="240" w:lineRule="auto"/>
      </w:pPr>
      <w:r>
        <w:t xml:space="preserve">The review is interested in what </w:t>
      </w:r>
      <w:r w:rsidRPr="007974CF">
        <w:t>new, non-traditional, ways of working have on the rights</w:t>
      </w:r>
      <w:r>
        <w:t xml:space="preserve"> and benefits of those involved</w:t>
      </w:r>
      <w:r w:rsidR="0030622A">
        <w:t>, the reach of traditional employment prote</w:t>
      </w:r>
      <w:r w:rsidR="00220620">
        <w:t>ctions and different</w:t>
      </w:r>
      <w:r w:rsidR="0030622A">
        <w:t xml:space="preserve"> approaches to </w:t>
      </w:r>
      <w:r w:rsidR="00220620">
        <w:t xml:space="preserve">securing higher </w:t>
      </w:r>
      <w:r w:rsidR="0030622A">
        <w:t>labour market standards. W</w:t>
      </w:r>
      <w:r w:rsidR="009E7E5F">
        <w:t xml:space="preserve">e address </w:t>
      </w:r>
      <w:r w:rsidR="00220620">
        <w:t>these</w:t>
      </w:r>
      <w:r w:rsidR="009E7E5F">
        <w:t xml:space="preserve"> issue</w:t>
      </w:r>
      <w:r w:rsidR="00220620">
        <w:t>s</w:t>
      </w:r>
      <w:r>
        <w:t xml:space="preserve"> with particular reference to security, pay</w:t>
      </w:r>
      <w:r w:rsidR="009E7E5F">
        <w:t>,</w:t>
      </w:r>
      <w:r>
        <w:t xml:space="preserve"> and options for redress. </w:t>
      </w:r>
    </w:p>
    <w:p w14:paraId="10F02277" w14:textId="77777777" w:rsidR="00A63E91" w:rsidRDefault="00A63E91" w:rsidP="007974CF">
      <w:pPr>
        <w:spacing w:line="240" w:lineRule="auto"/>
      </w:pPr>
    </w:p>
    <w:p w14:paraId="6766DC43" w14:textId="77777777" w:rsidR="00A63E91" w:rsidRDefault="00A63E91" w:rsidP="007974CF">
      <w:pPr>
        <w:spacing w:line="240" w:lineRule="auto"/>
        <w:rPr>
          <w:rFonts w:ascii="Verdana" w:hAnsi="Verdana"/>
          <w:b/>
          <w:bCs/>
          <w:i/>
          <w:color w:val="0086C1" w:themeColor="accent3"/>
          <w:sz w:val="26"/>
          <w:szCs w:val="22"/>
        </w:rPr>
      </w:pPr>
      <w:r w:rsidRPr="00487E0F">
        <w:rPr>
          <w:rFonts w:ascii="Verdana" w:hAnsi="Verdana"/>
          <w:b/>
          <w:bCs/>
          <w:i/>
          <w:color w:val="0086C1" w:themeColor="accent3"/>
          <w:sz w:val="26"/>
          <w:szCs w:val="22"/>
        </w:rPr>
        <w:t>Security</w:t>
      </w:r>
    </w:p>
    <w:p w14:paraId="701CD68C" w14:textId="77777777" w:rsidR="00A63E91" w:rsidRDefault="00A63E91" w:rsidP="007974CF">
      <w:pPr>
        <w:spacing w:line="240" w:lineRule="auto"/>
        <w:rPr>
          <w:rFonts w:ascii="Verdana" w:hAnsi="Verdana"/>
          <w:b/>
          <w:bCs/>
          <w:i/>
          <w:color w:val="0086C1" w:themeColor="accent3"/>
          <w:sz w:val="26"/>
          <w:szCs w:val="22"/>
        </w:rPr>
      </w:pPr>
    </w:p>
    <w:p w14:paraId="1D5F9B64" w14:textId="7F83FA03" w:rsidR="00A63E91" w:rsidRDefault="00A63E91" w:rsidP="007974CF">
      <w:pPr>
        <w:spacing w:line="240" w:lineRule="auto"/>
        <w:rPr>
          <w:rFonts w:cs="Arial"/>
          <w:bCs/>
          <w:szCs w:val="22"/>
        </w:rPr>
      </w:pPr>
      <w:r w:rsidRPr="00245DF3">
        <w:rPr>
          <w:rFonts w:cs="Arial"/>
          <w:bCs/>
          <w:szCs w:val="22"/>
        </w:rPr>
        <w:t>It is difficult to separate the</w:t>
      </w:r>
      <w:r>
        <w:rPr>
          <w:rFonts w:cs="Arial"/>
          <w:bCs/>
          <w:szCs w:val="22"/>
        </w:rPr>
        <w:t xml:space="preserve"> issues of ‘security’ from ‘status’, as the legal status of all work and labour</w:t>
      </w:r>
      <w:r w:rsidR="00E35916">
        <w:rPr>
          <w:rFonts w:cs="Arial"/>
          <w:bCs/>
          <w:szCs w:val="22"/>
        </w:rPr>
        <w:t>-</w:t>
      </w:r>
      <w:r>
        <w:rPr>
          <w:rFonts w:cs="Arial"/>
          <w:bCs/>
          <w:szCs w:val="22"/>
        </w:rPr>
        <w:t>related transactions (whether between individuals, legal entities</w:t>
      </w:r>
      <w:r w:rsidR="00006EF9">
        <w:rPr>
          <w:rFonts w:cs="Arial"/>
          <w:bCs/>
          <w:szCs w:val="22"/>
        </w:rPr>
        <w:t>,</w:t>
      </w:r>
      <w:r>
        <w:rPr>
          <w:rFonts w:cs="Arial"/>
          <w:bCs/>
          <w:szCs w:val="22"/>
        </w:rPr>
        <w:t xml:space="preserve"> or both) affect  tax, redundancy</w:t>
      </w:r>
      <w:r w:rsidRPr="00D742B7">
        <w:rPr>
          <w:rFonts w:cs="Arial"/>
          <w:bCs/>
          <w:szCs w:val="22"/>
        </w:rPr>
        <w:t xml:space="preserve"> rights, national minimum wage</w:t>
      </w:r>
      <w:r>
        <w:rPr>
          <w:rFonts w:cs="Arial"/>
          <w:bCs/>
          <w:szCs w:val="22"/>
        </w:rPr>
        <w:t xml:space="preserve"> entitlement</w:t>
      </w:r>
      <w:r w:rsidRPr="00D742B7">
        <w:rPr>
          <w:rFonts w:cs="Arial"/>
          <w:bCs/>
          <w:szCs w:val="22"/>
        </w:rPr>
        <w:t xml:space="preserve">, benefits and </w:t>
      </w:r>
      <w:r>
        <w:rPr>
          <w:rFonts w:cs="Arial"/>
          <w:bCs/>
          <w:szCs w:val="22"/>
        </w:rPr>
        <w:t xml:space="preserve">tax </w:t>
      </w:r>
      <w:r w:rsidRPr="00D742B7">
        <w:rPr>
          <w:rFonts w:cs="Arial"/>
          <w:bCs/>
          <w:szCs w:val="22"/>
        </w:rPr>
        <w:t>credits, pensions auto-enrolmen</w:t>
      </w:r>
      <w:r>
        <w:rPr>
          <w:rFonts w:cs="Arial"/>
          <w:bCs/>
          <w:szCs w:val="22"/>
        </w:rPr>
        <w:t>t and other matters relating to security in the labour</w:t>
      </w:r>
      <w:r w:rsidR="00006EF9">
        <w:rPr>
          <w:rFonts w:cs="Arial"/>
          <w:bCs/>
          <w:szCs w:val="22"/>
        </w:rPr>
        <w:t xml:space="preserve"> market. In 2014 the Government</w:t>
      </w:r>
      <w:r w:rsidRPr="00D742B7">
        <w:rPr>
          <w:rFonts w:cs="Arial"/>
          <w:bCs/>
          <w:szCs w:val="22"/>
        </w:rPr>
        <w:t xml:space="preserve"> commissioned the Office of Tax Simplification</w:t>
      </w:r>
      <w:r w:rsidR="00FA39A8">
        <w:rPr>
          <w:rFonts w:cs="Arial"/>
          <w:bCs/>
          <w:szCs w:val="22"/>
        </w:rPr>
        <w:t xml:space="preserve"> (OTS)</w:t>
      </w:r>
      <w:r w:rsidRPr="00D742B7">
        <w:rPr>
          <w:rFonts w:cs="Arial"/>
          <w:bCs/>
          <w:szCs w:val="22"/>
        </w:rPr>
        <w:t xml:space="preserve"> to examine the dividing line between employment and s</w:t>
      </w:r>
      <w:r>
        <w:rPr>
          <w:rFonts w:cs="Arial"/>
          <w:bCs/>
          <w:szCs w:val="22"/>
        </w:rPr>
        <w:t>elf-employment and whether the line</w:t>
      </w:r>
      <w:r w:rsidRPr="00D742B7">
        <w:rPr>
          <w:rFonts w:cs="Arial"/>
          <w:bCs/>
          <w:szCs w:val="22"/>
        </w:rPr>
        <w:t xml:space="preserve"> </w:t>
      </w:r>
      <w:r>
        <w:rPr>
          <w:rFonts w:cs="Arial"/>
          <w:bCs/>
          <w:szCs w:val="22"/>
        </w:rPr>
        <w:t xml:space="preserve">is </w:t>
      </w:r>
      <w:r w:rsidRPr="00D742B7">
        <w:rPr>
          <w:rFonts w:cs="Arial"/>
          <w:bCs/>
          <w:szCs w:val="22"/>
        </w:rPr>
        <w:t>drawn in the right place and in the right way</w:t>
      </w:r>
      <w:r>
        <w:rPr>
          <w:rFonts w:cs="Arial"/>
          <w:bCs/>
          <w:szCs w:val="22"/>
        </w:rPr>
        <w:t>. It concluded that given the myriad of new working arrangements it was no longer as simple as a binary divide (employed versus self-employed) and that there is a growing problem of lack of legal certainty. It also concluded that whilst there could be some better definitions of employment status, there were no easy or tidy solutions.</w:t>
      </w:r>
      <w:r>
        <w:rPr>
          <w:rStyle w:val="EndnoteReference"/>
          <w:rFonts w:cs="Arial"/>
          <w:bCs/>
          <w:szCs w:val="22"/>
        </w:rPr>
        <w:endnoteReference w:id="7"/>
      </w:r>
      <w:r>
        <w:rPr>
          <w:rFonts w:cs="Arial"/>
          <w:bCs/>
          <w:szCs w:val="22"/>
        </w:rPr>
        <w:t xml:space="preserve"> We address some of the issues about </w:t>
      </w:r>
      <w:r>
        <w:rPr>
          <w:rFonts w:cs="Arial"/>
          <w:bCs/>
          <w:szCs w:val="22"/>
        </w:rPr>
        <w:lastRenderedPageBreak/>
        <w:t>rights and status in the section on the balance of rights and responsibilities below.</w:t>
      </w:r>
    </w:p>
    <w:p w14:paraId="77D91FC5" w14:textId="77777777" w:rsidR="00A63E91" w:rsidRDefault="00A63E91" w:rsidP="007974CF">
      <w:pPr>
        <w:spacing w:line="240" w:lineRule="auto"/>
        <w:rPr>
          <w:rFonts w:cs="Arial"/>
          <w:bCs/>
          <w:szCs w:val="22"/>
        </w:rPr>
      </w:pPr>
    </w:p>
    <w:p w14:paraId="5FA4BD9A" w14:textId="77777777" w:rsidR="00A63E91" w:rsidRPr="00791969" w:rsidRDefault="00A63E91" w:rsidP="00791969">
      <w:pPr>
        <w:spacing w:line="240" w:lineRule="auto"/>
        <w:rPr>
          <w:rFonts w:cs="Arial"/>
          <w:bCs/>
          <w:szCs w:val="22"/>
        </w:rPr>
      </w:pPr>
      <w:r w:rsidRPr="00791969">
        <w:rPr>
          <w:rFonts w:cs="Arial"/>
          <w:bCs/>
          <w:szCs w:val="22"/>
        </w:rPr>
        <w:t>‘Security’ also captures a range of issues faced by workers (whether agency workers, workers on zero-hours contracts or otherwise) including</w:t>
      </w:r>
      <w:r>
        <w:rPr>
          <w:rFonts w:cs="Arial"/>
          <w:bCs/>
          <w:szCs w:val="22"/>
        </w:rPr>
        <w:t xml:space="preserve"> their</w:t>
      </w:r>
      <w:r w:rsidRPr="00791969">
        <w:rPr>
          <w:rFonts w:cs="Arial"/>
          <w:bCs/>
          <w:szCs w:val="22"/>
        </w:rPr>
        <w:t xml:space="preserve"> awareness of </w:t>
      </w:r>
      <w:r>
        <w:rPr>
          <w:rFonts w:cs="Arial"/>
          <w:bCs/>
          <w:szCs w:val="22"/>
        </w:rPr>
        <w:t xml:space="preserve">existing </w:t>
      </w:r>
      <w:r w:rsidRPr="00791969">
        <w:rPr>
          <w:rFonts w:cs="Arial"/>
          <w:bCs/>
          <w:szCs w:val="22"/>
        </w:rPr>
        <w:t>rights, ability to identify and enforce accrued rights (including pay), family and pregnancy rights and certain rights not to suffer a detriment. Currently “workers” do not enjoy a whole raft of rights and entitlements as compared to employees</w:t>
      </w:r>
      <w:r w:rsidR="00807E84">
        <w:rPr>
          <w:rFonts w:cs="Arial"/>
          <w:bCs/>
          <w:szCs w:val="22"/>
        </w:rPr>
        <w:t>.</w:t>
      </w:r>
      <w:r w:rsidR="00807E84">
        <w:rPr>
          <w:rStyle w:val="EndnoteReference"/>
          <w:rFonts w:cs="Arial"/>
          <w:bCs/>
          <w:szCs w:val="22"/>
        </w:rPr>
        <w:endnoteReference w:id="8"/>
      </w:r>
      <w:r w:rsidR="00807E84">
        <w:rPr>
          <w:rFonts w:cs="Arial"/>
          <w:bCs/>
          <w:szCs w:val="22"/>
        </w:rPr>
        <w:t xml:space="preserve"> </w:t>
      </w:r>
      <w:r w:rsidRPr="00791969">
        <w:rPr>
          <w:rFonts w:cs="Arial"/>
          <w:bCs/>
          <w:szCs w:val="22"/>
        </w:rPr>
        <w:t>Evidence submitted to this review shows that the absence of such rights has given rise to unacceptable levels of insecurity for some workers. Some of the rights not currently enjoyed by “workers” include:</w:t>
      </w:r>
    </w:p>
    <w:p w14:paraId="4E0AB2A8" w14:textId="77777777" w:rsidR="00A63E91" w:rsidRDefault="00A63E91" w:rsidP="00220620">
      <w:pPr>
        <w:pStyle w:val="ListParagraph"/>
        <w:numPr>
          <w:ilvl w:val="0"/>
          <w:numId w:val="31"/>
        </w:numPr>
        <w:spacing w:line="240" w:lineRule="auto"/>
        <w:ind w:left="567" w:hanging="436"/>
        <w:rPr>
          <w:rFonts w:cs="Arial"/>
          <w:bCs/>
          <w:szCs w:val="22"/>
        </w:rPr>
      </w:pPr>
      <w:r w:rsidRPr="00791969">
        <w:rPr>
          <w:rFonts w:cs="Arial"/>
          <w:bCs/>
          <w:szCs w:val="22"/>
        </w:rPr>
        <w:t>Written particulars of employment</w:t>
      </w:r>
    </w:p>
    <w:p w14:paraId="0B74BE96" w14:textId="77777777" w:rsidR="00A63E91" w:rsidRDefault="00A63E91" w:rsidP="00220620">
      <w:pPr>
        <w:pStyle w:val="ListParagraph"/>
        <w:numPr>
          <w:ilvl w:val="0"/>
          <w:numId w:val="31"/>
        </w:numPr>
        <w:spacing w:line="240" w:lineRule="auto"/>
        <w:ind w:left="567" w:hanging="436"/>
        <w:rPr>
          <w:rFonts w:cs="Arial"/>
          <w:bCs/>
          <w:szCs w:val="22"/>
        </w:rPr>
      </w:pPr>
      <w:r w:rsidRPr="00791969">
        <w:rPr>
          <w:rFonts w:cs="Arial"/>
          <w:bCs/>
          <w:szCs w:val="22"/>
        </w:rPr>
        <w:t>Itemised pay statements</w:t>
      </w:r>
    </w:p>
    <w:p w14:paraId="18C03505" w14:textId="77777777" w:rsidR="00A63E91" w:rsidRDefault="00A63E91" w:rsidP="00220620">
      <w:pPr>
        <w:pStyle w:val="ListParagraph"/>
        <w:numPr>
          <w:ilvl w:val="0"/>
          <w:numId w:val="31"/>
        </w:numPr>
        <w:spacing w:line="240" w:lineRule="auto"/>
        <w:ind w:left="567" w:hanging="436"/>
        <w:rPr>
          <w:rFonts w:cs="Arial"/>
          <w:bCs/>
          <w:szCs w:val="22"/>
        </w:rPr>
      </w:pPr>
      <w:r w:rsidRPr="00791969">
        <w:rPr>
          <w:rFonts w:cs="Arial"/>
          <w:bCs/>
          <w:szCs w:val="22"/>
        </w:rPr>
        <w:t xml:space="preserve">Maternity, paternity, adoption and parental absence pay  </w:t>
      </w:r>
    </w:p>
    <w:p w14:paraId="20BEC0F5" w14:textId="77777777" w:rsidR="00A63E91" w:rsidRDefault="00A63E91" w:rsidP="00220620">
      <w:pPr>
        <w:pStyle w:val="ListParagraph"/>
        <w:numPr>
          <w:ilvl w:val="0"/>
          <w:numId w:val="31"/>
        </w:numPr>
        <w:spacing w:line="240" w:lineRule="auto"/>
        <w:ind w:left="567" w:hanging="436"/>
        <w:rPr>
          <w:rFonts w:cs="Arial"/>
          <w:bCs/>
          <w:szCs w:val="22"/>
        </w:rPr>
      </w:pPr>
      <w:r w:rsidRPr="00791969">
        <w:rPr>
          <w:rFonts w:cs="Arial"/>
          <w:bCs/>
          <w:szCs w:val="22"/>
        </w:rPr>
        <w:t>Statutory sick pay</w:t>
      </w:r>
    </w:p>
    <w:p w14:paraId="50FD3D10" w14:textId="77777777" w:rsidR="00A63E91" w:rsidRDefault="00A63E91" w:rsidP="00220620">
      <w:pPr>
        <w:pStyle w:val="ListParagraph"/>
        <w:numPr>
          <w:ilvl w:val="0"/>
          <w:numId w:val="31"/>
        </w:numPr>
        <w:spacing w:line="240" w:lineRule="auto"/>
        <w:ind w:left="567" w:hanging="436"/>
        <w:rPr>
          <w:rFonts w:cs="Arial"/>
          <w:bCs/>
          <w:szCs w:val="22"/>
        </w:rPr>
      </w:pPr>
      <w:r w:rsidRPr="00791969">
        <w:rPr>
          <w:rFonts w:cs="Arial"/>
          <w:bCs/>
          <w:szCs w:val="22"/>
        </w:rPr>
        <w:t xml:space="preserve">Time off in respect of partners, adoption, family and dependents </w:t>
      </w:r>
    </w:p>
    <w:p w14:paraId="1E1C6249" w14:textId="77777777" w:rsidR="00A63E91" w:rsidRDefault="00A63E91" w:rsidP="00220620">
      <w:pPr>
        <w:pStyle w:val="ListParagraph"/>
        <w:numPr>
          <w:ilvl w:val="0"/>
          <w:numId w:val="31"/>
        </w:numPr>
        <w:spacing w:line="240" w:lineRule="auto"/>
        <w:ind w:left="567" w:hanging="436"/>
        <w:rPr>
          <w:rFonts w:cs="Arial"/>
          <w:bCs/>
          <w:szCs w:val="22"/>
        </w:rPr>
      </w:pPr>
      <w:r w:rsidRPr="00791969">
        <w:rPr>
          <w:rFonts w:cs="Arial"/>
          <w:bCs/>
          <w:szCs w:val="22"/>
        </w:rPr>
        <w:t xml:space="preserve">Termination rights (except by analogy to the right of workers not to suffer a detriment in connection with the ban on exclusivity in zero-hours contracts) </w:t>
      </w:r>
    </w:p>
    <w:p w14:paraId="41F34B55" w14:textId="77777777" w:rsidR="00A63E91" w:rsidRDefault="00A63E91" w:rsidP="00220620">
      <w:pPr>
        <w:pStyle w:val="ListParagraph"/>
        <w:numPr>
          <w:ilvl w:val="0"/>
          <w:numId w:val="31"/>
        </w:numPr>
        <w:spacing w:line="240" w:lineRule="auto"/>
        <w:ind w:left="567" w:hanging="436"/>
        <w:rPr>
          <w:rFonts w:cs="Arial"/>
          <w:bCs/>
          <w:szCs w:val="22"/>
        </w:rPr>
      </w:pPr>
      <w:r w:rsidRPr="00791969">
        <w:rPr>
          <w:rFonts w:cs="Arial"/>
          <w:bCs/>
          <w:szCs w:val="22"/>
        </w:rPr>
        <w:t>The right not to be refused employment because of membership or non-membership of a trade union and other rights connected with trade union activity and support</w:t>
      </w:r>
    </w:p>
    <w:p w14:paraId="2D9DDA4A" w14:textId="77777777" w:rsidR="00A63E91" w:rsidRPr="00791969" w:rsidRDefault="00A63E91" w:rsidP="00220620">
      <w:pPr>
        <w:pStyle w:val="ListParagraph"/>
        <w:numPr>
          <w:ilvl w:val="0"/>
          <w:numId w:val="31"/>
        </w:numPr>
        <w:spacing w:line="240" w:lineRule="auto"/>
        <w:ind w:left="567" w:hanging="436"/>
        <w:rPr>
          <w:rFonts w:cs="Arial"/>
          <w:bCs/>
          <w:szCs w:val="22"/>
        </w:rPr>
      </w:pPr>
      <w:r w:rsidRPr="00791969">
        <w:rPr>
          <w:rFonts w:cs="Arial"/>
          <w:bCs/>
          <w:szCs w:val="22"/>
        </w:rPr>
        <w:t>Not to suffer detriment for exercising rights in respect of taking time off for study or training, health &amp; safety or jury service</w:t>
      </w:r>
    </w:p>
    <w:p w14:paraId="1BCC1DA1" w14:textId="77777777" w:rsidR="00A63E91" w:rsidRDefault="00A63E91" w:rsidP="00791969">
      <w:pPr>
        <w:spacing w:line="240" w:lineRule="auto"/>
        <w:rPr>
          <w:rFonts w:cs="Arial"/>
          <w:bCs/>
          <w:szCs w:val="22"/>
        </w:rPr>
      </w:pPr>
    </w:p>
    <w:p w14:paraId="00996DAD" w14:textId="6BC6AAE1" w:rsidR="00A63E91" w:rsidRDefault="00A63E91" w:rsidP="00791969">
      <w:pPr>
        <w:spacing w:line="240" w:lineRule="auto"/>
        <w:rPr>
          <w:rFonts w:cs="Arial"/>
          <w:bCs/>
          <w:szCs w:val="22"/>
        </w:rPr>
      </w:pPr>
      <w:r w:rsidRPr="00791969">
        <w:rPr>
          <w:rFonts w:cs="Arial"/>
          <w:bCs/>
          <w:szCs w:val="22"/>
        </w:rPr>
        <w:t>We believe that transparency is a key driver for greater security and predictability. There can and should be greater transparency for all workers as to the terms of their engagement and accrued rights, such as pay. Extending to “workers” similar rights of employees as regards particulars of engagement</w:t>
      </w:r>
      <w:r w:rsidR="00E35916">
        <w:rPr>
          <w:rFonts w:cs="Arial"/>
          <w:bCs/>
          <w:szCs w:val="22"/>
        </w:rPr>
        <w:t>,</w:t>
      </w:r>
      <w:r w:rsidRPr="00791969">
        <w:rPr>
          <w:rFonts w:cs="Arial"/>
          <w:bCs/>
          <w:szCs w:val="22"/>
        </w:rPr>
        <w:t xml:space="preserve"> as well as itemised information regarding pay a</w:t>
      </w:r>
      <w:r>
        <w:rPr>
          <w:rFonts w:cs="Arial"/>
          <w:bCs/>
          <w:szCs w:val="22"/>
        </w:rPr>
        <w:t>nd other accrued entitlements</w:t>
      </w:r>
      <w:r w:rsidR="00E35916">
        <w:rPr>
          <w:rFonts w:cs="Arial"/>
          <w:bCs/>
          <w:szCs w:val="22"/>
        </w:rPr>
        <w:t>,</w:t>
      </w:r>
      <w:r>
        <w:rPr>
          <w:rFonts w:cs="Arial"/>
          <w:bCs/>
          <w:szCs w:val="22"/>
        </w:rPr>
        <w:t xml:space="preserve"> could be</w:t>
      </w:r>
      <w:r w:rsidRPr="00791969">
        <w:rPr>
          <w:rFonts w:cs="Arial"/>
          <w:bCs/>
          <w:szCs w:val="22"/>
        </w:rPr>
        <w:t xml:space="preserve"> the first step to informing workers on the most basic level about their rights and obligations. </w:t>
      </w:r>
      <w:r w:rsidRPr="00791969">
        <w:rPr>
          <w:rFonts w:cs="Arial"/>
          <w:bCs/>
          <w:szCs w:val="22"/>
        </w:rPr>
        <w:lastRenderedPageBreak/>
        <w:t>Self-evidently, in the absence of a basic level of read</w:t>
      </w:r>
      <w:r w:rsidR="00E35916">
        <w:rPr>
          <w:rFonts w:cs="Arial"/>
          <w:bCs/>
          <w:szCs w:val="22"/>
        </w:rPr>
        <w:t>ily</w:t>
      </w:r>
      <w:r w:rsidRPr="00791969">
        <w:rPr>
          <w:rFonts w:cs="Arial"/>
          <w:bCs/>
          <w:szCs w:val="22"/>
        </w:rPr>
        <w:t xml:space="preserve"> available and intelligible information</w:t>
      </w:r>
      <w:r w:rsidR="00E35916">
        <w:rPr>
          <w:rFonts w:cs="Arial"/>
          <w:bCs/>
          <w:szCs w:val="22"/>
        </w:rPr>
        <w:t>,</w:t>
      </w:r>
      <w:r w:rsidRPr="00791969">
        <w:rPr>
          <w:rFonts w:cs="Arial"/>
          <w:bCs/>
          <w:szCs w:val="22"/>
        </w:rPr>
        <w:t xml:space="preserve"> workers’ ability to understand their entitlements and to plan ahead is severely limited and the ability to enforce rights is curtailed.  </w:t>
      </w:r>
    </w:p>
    <w:p w14:paraId="10F369AC" w14:textId="77777777" w:rsidR="00E35916" w:rsidRPr="00791969" w:rsidRDefault="00E35916" w:rsidP="00791969">
      <w:pPr>
        <w:spacing w:line="240" w:lineRule="auto"/>
        <w:rPr>
          <w:rFonts w:cs="Arial"/>
          <w:bCs/>
          <w:szCs w:val="22"/>
        </w:rPr>
      </w:pPr>
    </w:p>
    <w:p w14:paraId="4680236D" w14:textId="44D1DB7B" w:rsidR="00A63E91" w:rsidRDefault="00A63E91" w:rsidP="00791969">
      <w:pPr>
        <w:spacing w:line="240" w:lineRule="auto"/>
        <w:rPr>
          <w:rFonts w:cs="Arial"/>
          <w:bCs/>
          <w:szCs w:val="22"/>
        </w:rPr>
      </w:pPr>
      <w:r w:rsidRPr="00791969">
        <w:rPr>
          <w:rFonts w:cs="Arial"/>
          <w:bCs/>
          <w:szCs w:val="22"/>
        </w:rPr>
        <w:t xml:space="preserve">We believe that </w:t>
      </w:r>
      <w:r>
        <w:rPr>
          <w:rFonts w:cs="Arial"/>
          <w:bCs/>
          <w:szCs w:val="22"/>
        </w:rPr>
        <w:t>‘</w:t>
      </w:r>
      <w:r w:rsidRPr="00791969">
        <w:rPr>
          <w:rFonts w:cs="Arial"/>
          <w:bCs/>
          <w:szCs w:val="22"/>
        </w:rPr>
        <w:t>rights voices</w:t>
      </w:r>
      <w:r>
        <w:rPr>
          <w:rFonts w:cs="Arial"/>
          <w:bCs/>
          <w:szCs w:val="22"/>
        </w:rPr>
        <w:t>’</w:t>
      </w:r>
      <w:r w:rsidRPr="00791969">
        <w:rPr>
          <w:rFonts w:cs="Arial"/>
          <w:bCs/>
          <w:szCs w:val="22"/>
        </w:rPr>
        <w:t xml:space="preserve"> at work generate higher levels of security and should be enhanced. This could include enhancing trade union voices and collective bargaining regarding specific working conditions in industries where th</w:t>
      </w:r>
      <w:r w:rsidR="00B85512">
        <w:rPr>
          <w:rFonts w:cs="Arial"/>
          <w:bCs/>
          <w:szCs w:val="22"/>
        </w:rPr>
        <w:t>ere is a high level of flexible</w:t>
      </w:r>
      <w:r w:rsidRPr="00791969">
        <w:rPr>
          <w:rFonts w:cs="Arial"/>
          <w:bCs/>
          <w:szCs w:val="22"/>
        </w:rPr>
        <w:t xml:space="preserve"> or other atypical work. </w:t>
      </w:r>
    </w:p>
    <w:p w14:paraId="41DDDE91" w14:textId="77777777" w:rsidR="00815E97" w:rsidRPr="00791969" w:rsidRDefault="00815E97" w:rsidP="00791969">
      <w:pPr>
        <w:spacing w:line="240" w:lineRule="auto"/>
        <w:rPr>
          <w:rFonts w:cs="Arial"/>
          <w:bCs/>
          <w:szCs w:val="22"/>
        </w:rPr>
      </w:pPr>
    </w:p>
    <w:p w14:paraId="3CDBED25" w14:textId="3F965F1E" w:rsidR="00A63E91" w:rsidRPr="00791969" w:rsidRDefault="00A63E91" w:rsidP="00791969">
      <w:pPr>
        <w:spacing w:line="240" w:lineRule="auto"/>
        <w:rPr>
          <w:rFonts w:cs="Arial"/>
          <w:bCs/>
          <w:szCs w:val="22"/>
        </w:rPr>
      </w:pPr>
      <w:r w:rsidRPr="00791969">
        <w:rPr>
          <w:rFonts w:cs="Arial"/>
          <w:bCs/>
          <w:szCs w:val="22"/>
        </w:rPr>
        <w:t>Rights voices can also be enhanced by industry bodies</w:t>
      </w:r>
      <w:r w:rsidR="001466A3">
        <w:rPr>
          <w:rFonts w:cs="Arial"/>
          <w:bCs/>
          <w:szCs w:val="22"/>
        </w:rPr>
        <w:t>, trade associations, codes of practice</w:t>
      </w:r>
      <w:r w:rsidRPr="00791969">
        <w:rPr>
          <w:rFonts w:cs="Arial"/>
          <w:bCs/>
          <w:szCs w:val="22"/>
        </w:rPr>
        <w:t xml:space="preserve"> and other forms of self-regulation</w:t>
      </w:r>
      <w:r w:rsidR="001466A3">
        <w:rPr>
          <w:rFonts w:cs="Arial"/>
          <w:bCs/>
          <w:szCs w:val="22"/>
        </w:rPr>
        <w:t xml:space="preserve"> backed up by duties on regulators to work in partnership with sectoral bodies and encourage best practice.</w:t>
      </w:r>
      <w:r w:rsidR="00E27923">
        <w:rPr>
          <w:rStyle w:val="EndnoteReference"/>
          <w:rFonts w:cs="Arial"/>
          <w:bCs/>
          <w:szCs w:val="22"/>
        </w:rPr>
        <w:endnoteReference w:id="9"/>
      </w:r>
      <w:r w:rsidR="001466A3">
        <w:rPr>
          <w:rFonts w:cs="Arial"/>
          <w:bCs/>
          <w:szCs w:val="22"/>
        </w:rPr>
        <w:t xml:space="preserve"> Industry bodies</w:t>
      </w:r>
      <w:r w:rsidR="00B85512">
        <w:rPr>
          <w:rFonts w:cs="Arial"/>
          <w:bCs/>
          <w:szCs w:val="22"/>
        </w:rPr>
        <w:t xml:space="preserve"> are often well</w:t>
      </w:r>
      <w:r w:rsidRPr="00791969">
        <w:rPr>
          <w:rFonts w:cs="Arial"/>
          <w:bCs/>
          <w:szCs w:val="22"/>
        </w:rPr>
        <w:t xml:space="preserve"> placed to gather information about current practices amon</w:t>
      </w:r>
      <w:r w:rsidR="001466A3">
        <w:rPr>
          <w:rFonts w:cs="Arial"/>
          <w:bCs/>
          <w:szCs w:val="22"/>
        </w:rPr>
        <w:t>g members or within the industry</w:t>
      </w:r>
      <w:r w:rsidR="00815E97">
        <w:rPr>
          <w:rFonts w:cs="Arial"/>
          <w:bCs/>
          <w:szCs w:val="22"/>
        </w:rPr>
        <w:t xml:space="preserve">, </w:t>
      </w:r>
      <w:r w:rsidRPr="00791969">
        <w:rPr>
          <w:rFonts w:cs="Arial"/>
          <w:bCs/>
          <w:szCs w:val="22"/>
        </w:rPr>
        <w:t>and analyse information about industry practice</w:t>
      </w:r>
      <w:r w:rsidR="00E27923">
        <w:rPr>
          <w:rFonts w:cs="Arial"/>
          <w:bCs/>
          <w:szCs w:val="22"/>
        </w:rPr>
        <w:t xml:space="preserve"> and sector</w:t>
      </w:r>
      <w:r w:rsidR="00E35916">
        <w:rPr>
          <w:rFonts w:cs="Arial"/>
          <w:bCs/>
          <w:szCs w:val="22"/>
        </w:rPr>
        <w:t>-</w:t>
      </w:r>
      <w:r w:rsidR="00E27923">
        <w:rPr>
          <w:rFonts w:cs="Arial"/>
          <w:bCs/>
          <w:szCs w:val="22"/>
        </w:rPr>
        <w:t>specific workforces.</w:t>
      </w:r>
      <w:r w:rsidRPr="00791969">
        <w:rPr>
          <w:rFonts w:cs="Arial"/>
          <w:bCs/>
          <w:szCs w:val="22"/>
        </w:rPr>
        <w:t xml:space="preserve"> Membershi</w:t>
      </w:r>
      <w:r w:rsidR="00E27923">
        <w:rPr>
          <w:rFonts w:cs="Arial"/>
          <w:bCs/>
          <w:szCs w:val="22"/>
        </w:rPr>
        <w:t xml:space="preserve">p criteria </w:t>
      </w:r>
      <w:r w:rsidR="00F40E4E">
        <w:rPr>
          <w:rFonts w:cs="Arial"/>
          <w:bCs/>
          <w:szCs w:val="22"/>
        </w:rPr>
        <w:t xml:space="preserve">of trade bodies </w:t>
      </w:r>
      <w:r w:rsidR="00E27923">
        <w:rPr>
          <w:rFonts w:cs="Arial"/>
          <w:bCs/>
          <w:szCs w:val="22"/>
        </w:rPr>
        <w:t xml:space="preserve">can </w:t>
      </w:r>
      <w:r w:rsidR="009E7E5F">
        <w:rPr>
          <w:rFonts w:cs="Arial"/>
          <w:bCs/>
          <w:szCs w:val="22"/>
        </w:rPr>
        <w:t xml:space="preserve">also </w:t>
      </w:r>
      <w:r w:rsidR="00E27923">
        <w:rPr>
          <w:rFonts w:cs="Arial"/>
          <w:bCs/>
          <w:szCs w:val="22"/>
        </w:rPr>
        <w:t>help to develop best practice</w:t>
      </w:r>
      <w:r w:rsidR="00F40E4E">
        <w:rPr>
          <w:rFonts w:cs="Arial"/>
          <w:bCs/>
          <w:szCs w:val="22"/>
        </w:rPr>
        <w:t xml:space="preserve"> businesses and</w:t>
      </w:r>
      <w:r w:rsidRPr="00791969">
        <w:rPr>
          <w:rFonts w:cs="Arial"/>
          <w:bCs/>
          <w:szCs w:val="22"/>
        </w:rPr>
        <w:t xml:space="preserve"> </w:t>
      </w:r>
      <w:r w:rsidR="009E7E5F">
        <w:rPr>
          <w:rFonts w:cs="Arial"/>
          <w:bCs/>
          <w:szCs w:val="22"/>
        </w:rPr>
        <w:t xml:space="preserve">tackle </w:t>
      </w:r>
      <w:r w:rsidRPr="00791969">
        <w:rPr>
          <w:rFonts w:cs="Arial"/>
          <w:bCs/>
          <w:szCs w:val="22"/>
        </w:rPr>
        <w:t>the more egregious practices within an industry</w:t>
      </w:r>
      <w:r w:rsidR="00E27923">
        <w:rPr>
          <w:rFonts w:cs="Arial"/>
          <w:bCs/>
          <w:szCs w:val="22"/>
        </w:rPr>
        <w:t xml:space="preserve">. </w:t>
      </w:r>
      <w:r w:rsidR="00E27923" w:rsidRPr="00791969">
        <w:rPr>
          <w:rFonts w:cs="Arial"/>
          <w:bCs/>
          <w:szCs w:val="22"/>
        </w:rPr>
        <w:t>Self-regulation</w:t>
      </w:r>
      <w:r w:rsidR="00E27923">
        <w:rPr>
          <w:rFonts w:cs="Arial"/>
          <w:bCs/>
          <w:szCs w:val="22"/>
        </w:rPr>
        <w:t>,</w:t>
      </w:r>
      <w:r w:rsidR="00E27923" w:rsidRPr="00791969">
        <w:rPr>
          <w:rFonts w:cs="Arial"/>
          <w:bCs/>
          <w:szCs w:val="22"/>
        </w:rPr>
        <w:t xml:space="preserve"> in whatever form</w:t>
      </w:r>
      <w:r w:rsidR="00E27923">
        <w:rPr>
          <w:rFonts w:cs="Arial"/>
          <w:bCs/>
          <w:szCs w:val="22"/>
        </w:rPr>
        <w:t>,</w:t>
      </w:r>
      <w:r w:rsidR="00E27923" w:rsidRPr="00791969">
        <w:rPr>
          <w:rFonts w:cs="Arial"/>
          <w:bCs/>
          <w:szCs w:val="22"/>
        </w:rPr>
        <w:t xml:space="preserve"> often works best alongside an implied threat of government to legislate in the absence of evidence of improved circumstanc</w:t>
      </w:r>
      <w:r w:rsidR="00E27923">
        <w:rPr>
          <w:rFonts w:cs="Arial"/>
          <w:bCs/>
          <w:szCs w:val="22"/>
        </w:rPr>
        <w:t>es over time. Alternatively</w:t>
      </w:r>
      <w:r w:rsidR="00E35916">
        <w:rPr>
          <w:rFonts w:cs="Arial"/>
          <w:bCs/>
          <w:szCs w:val="22"/>
        </w:rPr>
        <w:t>,</w:t>
      </w:r>
      <w:r w:rsidR="00E27923">
        <w:rPr>
          <w:rFonts w:cs="Arial"/>
          <w:bCs/>
          <w:szCs w:val="22"/>
        </w:rPr>
        <w:t xml:space="preserve"> s</w:t>
      </w:r>
      <w:r w:rsidRPr="00B85512">
        <w:rPr>
          <w:rFonts w:cs="Arial"/>
          <w:bCs/>
          <w:szCs w:val="22"/>
        </w:rPr>
        <w:t>elf-regulation can work alongside legislative intervention</w:t>
      </w:r>
      <w:r w:rsidR="00B85512">
        <w:rPr>
          <w:rFonts w:cs="Arial"/>
          <w:bCs/>
          <w:szCs w:val="22"/>
        </w:rPr>
        <w:t xml:space="preserve"> and</w:t>
      </w:r>
      <w:r w:rsidR="00F40E4E">
        <w:rPr>
          <w:rFonts w:cs="Arial"/>
          <w:bCs/>
          <w:szCs w:val="22"/>
        </w:rPr>
        <w:t xml:space="preserve"> </w:t>
      </w:r>
      <w:r>
        <w:rPr>
          <w:rFonts w:cs="Arial"/>
          <w:bCs/>
          <w:szCs w:val="22"/>
        </w:rPr>
        <w:t xml:space="preserve">include </w:t>
      </w:r>
      <w:r w:rsidR="00E27923">
        <w:rPr>
          <w:rFonts w:cs="Arial"/>
          <w:bCs/>
          <w:szCs w:val="22"/>
        </w:rPr>
        <w:t xml:space="preserve">a role in </w:t>
      </w:r>
      <w:r>
        <w:rPr>
          <w:rFonts w:cs="Arial"/>
          <w:bCs/>
          <w:szCs w:val="22"/>
        </w:rPr>
        <w:t xml:space="preserve">policing, monitoring </w:t>
      </w:r>
      <w:r w:rsidR="00B85512">
        <w:rPr>
          <w:rFonts w:cs="Arial"/>
          <w:bCs/>
          <w:szCs w:val="22"/>
        </w:rPr>
        <w:t>and</w:t>
      </w:r>
      <w:r>
        <w:rPr>
          <w:rFonts w:cs="Arial"/>
          <w:bCs/>
          <w:szCs w:val="22"/>
        </w:rPr>
        <w:t xml:space="preserve"> enforcing employment protections. </w:t>
      </w:r>
    </w:p>
    <w:p w14:paraId="5C256CD2" w14:textId="77777777" w:rsidR="00A63E91" w:rsidRDefault="00A63E91" w:rsidP="00791969">
      <w:pPr>
        <w:spacing w:line="240" w:lineRule="auto"/>
        <w:rPr>
          <w:rFonts w:cs="Arial"/>
          <w:bCs/>
          <w:szCs w:val="22"/>
        </w:rPr>
      </w:pPr>
    </w:p>
    <w:p w14:paraId="22CC9FF7" w14:textId="60C80785" w:rsidR="00A63E91" w:rsidRDefault="00A63E91" w:rsidP="00791969">
      <w:pPr>
        <w:spacing w:line="240" w:lineRule="auto"/>
        <w:rPr>
          <w:rFonts w:cs="Arial"/>
          <w:bCs/>
          <w:szCs w:val="22"/>
        </w:rPr>
      </w:pPr>
      <w:r w:rsidRPr="00791969">
        <w:rPr>
          <w:rFonts w:cs="Arial"/>
          <w:bCs/>
          <w:szCs w:val="22"/>
        </w:rPr>
        <w:t xml:space="preserve">We do recognise the many benefits arising out of new forms of working for both businesses and workers. </w:t>
      </w:r>
      <w:r w:rsidR="005C2238">
        <w:rPr>
          <w:rFonts w:cs="Arial"/>
          <w:bCs/>
          <w:szCs w:val="22"/>
        </w:rPr>
        <w:t>The focus of</w:t>
      </w:r>
      <w:r w:rsidR="00E47BA2">
        <w:rPr>
          <w:rFonts w:cs="Arial"/>
          <w:bCs/>
          <w:szCs w:val="22"/>
        </w:rPr>
        <w:t xml:space="preserve"> </w:t>
      </w:r>
      <w:r w:rsidRPr="00791969">
        <w:rPr>
          <w:rFonts w:cs="Arial"/>
          <w:bCs/>
          <w:szCs w:val="22"/>
        </w:rPr>
        <w:t xml:space="preserve">any reform must </w:t>
      </w:r>
      <w:r w:rsidR="005C2238">
        <w:rPr>
          <w:rFonts w:cs="Arial"/>
          <w:bCs/>
          <w:szCs w:val="22"/>
        </w:rPr>
        <w:t xml:space="preserve">be to </w:t>
      </w:r>
      <w:r w:rsidRPr="00791969">
        <w:rPr>
          <w:rFonts w:cs="Arial"/>
          <w:bCs/>
          <w:szCs w:val="22"/>
        </w:rPr>
        <w:t xml:space="preserve">strike a balance between innovation and job creation and </w:t>
      </w:r>
      <w:r w:rsidR="005F47CC">
        <w:rPr>
          <w:rFonts w:cs="Arial"/>
          <w:bCs/>
          <w:szCs w:val="22"/>
        </w:rPr>
        <w:t>achieving</w:t>
      </w:r>
      <w:r w:rsidR="005C2238">
        <w:rPr>
          <w:rFonts w:cs="Arial"/>
          <w:bCs/>
          <w:szCs w:val="22"/>
        </w:rPr>
        <w:t xml:space="preserve"> greater security for workers. This includes considering the case </w:t>
      </w:r>
      <w:r w:rsidR="00FA39A8" w:rsidRPr="001B7FF2">
        <w:rPr>
          <w:rFonts w:cs="Arial"/>
          <w:bCs/>
          <w:szCs w:val="22"/>
        </w:rPr>
        <w:t>for</w:t>
      </w:r>
      <w:r w:rsidRPr="001B7FF2">
        <w:rPr>
          <w:rFonts w:cs="Arial"/>
          <w:bCs/>
          <w:szCs w:val="22"/>
        </w:rPr>
        <w:t xml:space="preserve"> equalisation of rights at the legislative level, such as sick pay and </w:t>
      </w:r>
      <w:r w:rsidR="001B7FF2" w:rsidRPr="001B7FF2">
        <w:rPr>
          <w:rFonts w:cs="Arial"/>
          <w:bCs/>
          <w:szCs w:val="22"/>
        </w:rPr>
        <w:t>other</w:t>
      </w:r>
      <w:r w:rsidRPr="001B7FF2">
        <w:rPr>
          <w:rFonts w:cs="Arial"/>
          <w:bCs/>
          <w:szCs w:val="22"/>
        </w:rPr>
        <w:t xml:space="preserve"> rights, as between ‘employees’ and ‘workers</w:t>
      </w:r>
      <w:r w:rsidR="005F47CC">
        <w:rPr>
          <w:rFonts w:cs="Arial"/>
          <w:bCs/>
          <w:szCs w:val="22"/>
        </w:rPr>
        <w:t>.’</w:t>
      </w:r>
      <w:r w:rsidRPr="001B7FF2">
        <w:rPr>
          <w:rFonts w:cs="Arial"/>
          <w:bCs/>
          <w:szCs w:val="22"/>
        </w:rPr>
        <w:t xml:space="preserve"> Issues around sickness and family can generate unmanageable risks for some workers, leading to high levels of insecurity. Government has already shown a willingness to intervene in some areas of the so called “gig economy”, especially where </w:t>
      </w:r>
      <w:r w:rsidRPr="001B7FF2">
        <w:rPr>
          <w:rFonts w:cs="Arial"/>
          <w:bCs/>
          <w:szCs w:val="22"/>
        </w:rPr>
        <w:lastRenderedPageBreak/>
        <w:t>egregious practices have been identified. The Exclusivity Terms in Zero Hours Regulations 2015 (“The 2015 Regulations”) is an</w:t>
      </w:r>
      <w:r w:rsidRPr="00791969">
        <w:rPr>
          <w:rFonts w:cs="Arial"/>
          <w:bCs/>
          <w:szCs w:val="22"/>
        </w:rPr>
        <w:t xml:space="preserve"> example of legislative intervention into the job market with the aim of protecting workers against some practices leading to very low levels of </w:t>
      </w:r>
      <w:r w:rsidRPr="00372A4F">
        <w:rPr>
          <w:rFonts w:cs="Arial"/>
          <w:bCs/>
          <w:szCs w:val="22"/>
        </w:rPr>
        <w:t xml:space="preserve">security; however we urge the review to go further towards more meaningful equalisation of rights rather than </w:t>
      </w:r>
      <w:r w:rsidR="00B473D7">
        <w:rPr>
          <w:rFonts w:cs="Arial"/>
          <w:bCs/>
          <w:szCs w:val="22"/>
        </w:rPr>
        <w:t xml:space="preserve">just </w:t>
      </w:r>
      <w:r w:rsidRPr="00372A4F">
        <w:rPr>
          <w:rFonts w:cs="Arial"/>
          <w:bCs/>
          <w:szCs w:val="22"/>
        </w:rPr>
        <w:t xml:space="preserve">focusing on </w:t>
      </w:r>
      <w:r w:rsidR="00372A4F" w:rsidRPr="00372A4F">
        <w:rPr>
          <w:rFonts w:cs="Arial"/>
          <w:bCs/>
          <w:szCs w:val="22"/>
        </w:rPr>
        <w:t>bad</w:t>
      </w:r>
      <w:r w:rsidRPr="00372A4F">
        <w:rPr>
          <w:rFonts w:cs="Arial"/>
          <w:bCs/>
          <w:szCs w:val="22"/>
        </w:rPr>
        <w:t xml:space="preserve"> practices</w:t>
      </w:r>
      <w:r w:rsidR="00B86842">
        <w:rPr>
          <w:rFonts w:cs="Arial"/>
          <w:bCs/>
          <w:szCs w:val="22"/>
        </w:rPr>
        <w:t>.</w:t>
      </w:r>
      <w:r w:rsidRPr="00372A4F">
        <w:rPr>
          <w:rFonts w:cs="Arial"/>
          <w:bCs/>
          <w:szCs w:val="22"/>
        </w:rPr>
        <w:t xml:space="preserve"> For example, in respect of zero-hours contracts schedules of ‘expected’ work or guarantees as to minimum hours, whether negotiated through trade unions or otherwise, would go some way to meaningfully redressing an imbalance unduly favouring some employers and creating insecurity for workers.</w:t>
      </w:r>
      <w:r w:rsidRPr="00791969">
        <w:rPr>
          <w:rFonts w:cs="Arial"/>
          <w:bCs/>
          <w:szCs w:val="22"/>
        </w:rPr>
        <w:t xml:space="preserve">   </w:t>
      </w:r>
    </w:p>
    <w:p w14:paraId="1F217AE2" w14:textId="77777777" w:rsidR="00A63E91" w:rsidRDefault="00A63E91" w:rsidP="007974CF">
      <w:pPr>
        <w:spacing w:line="240" w:lineRule="auto"/>
        <w:rPr>
          <w:rFonts w:ascii="Verdana" w:hAnsi="Verdana"/>
          <w:b/>
          <w:bCs/>
          <w:color w:val="0086C1" w:themeColor="accent3"/>
          <w:sz w:val="26"/>
          <w:szCs w:val="22"/>
        </w:rPr>
      </w:pPr>
    </w:p>
    <w:p w14:paraId="6273F3C3" w14:textId="77777777" w:rsidR="00A63E91" w:rsidRPr="00487E0F" w:rsidRDefault="00A63E91" w:rsidP="007974CF">
      <w:pPr>
        <w:spacing w:line="240" w:lineRule="auto"/>
        <w:rPr>
          <w:i/>
        </w:rPr>
      </w:pPr>
      <w:r>
        <w:rPr>
          <w:rFonts w:ascii="Verdana" w:hAnsi="Verdana"/>
          <w:b/>
          <w:bCs/>
          <w:i/>
          <w:color w:val="0086C1" w:themeColor="accent3"/>
          <w:sz w:val="26"/>
          <w:szCs w:val="22"/>
        </w:rPr>
        <w:t>Pay</w:t>
      </w:r>
    </w:p>
    <w:p w14:paraId="155B5A82" w14:textId="77777777" w:rsidR="00A63E91" w:rsidRDefault="00A63E91" w:rsidP="007974CF">
      <w:pPr>
        <w:spacing w:line="240" w:lineRule="auto"/>
      </w:pPr>
    </w:p>
    <w:p w14:paraId="6CABD875" w14:textId="4FAF9A74" w:rsidR="00A63E91" w:rsidRDefault="00A63E91" w:rsidP="00544327">
      <w:pPr>
        <w:spacing w:line="240" w:lineRule="auto"/>
        <w:ind w:right="-71"/>
      </w:pPr>
      <w:r>
        <w:t xml:space="preserve">One question that the review needs to probe is whether the growth of more flexible employment patterns may be encouraging employers to </w:t>
      </w:r>
      <w:r w:rsidRPr="00F40E4E">
        <w:t>shirk on</w:t>
      </w:r>
      <w:r>
        <w:t xml:space="preserve"> their responsibilities in managing effective payroll systems. In a report last year Citizens Advice provided evidence that the number of issues they dealt with about unauthorised deductions at work (i.e. the non-payment of wages owed) had nearly doubled in a single year. For the quarter to March 2016, in the charity’s Advice Trends publication, the number of enquiries for problems with unauthorised deductions increased by 84%, prompting concerns from Citizens Advice that there is an emerging trend of “wage theft” where people are not getting pai</w:t>
      </w:r>
      <w:r w:rsidR="00220620">
        <w:t>d in full for the work they do.</w:t>
      </w:r>
      <w:r w:rsidR="000659AF">
        <w:rPr>
          <w:rStyle w:val="EndnoteReference"/>
        </w:rPr>
        <w:endnoteReference w:id="10"/>
      </w:r>
      <w:r>
        <w:t xml:space="preserve"> In some cases “employers are deliberately underpaying people including taking money from their wages without good reason; misrepresenting people’s working hours; paying below the national minimum wage and not paying wages for a long period of time or at all.”</w:t>
      </w:r>
    </w:p>
    <w:p w14:paraId="179BF94B" w14:textId="77777777" w:rsidR="00A63E91" w:rsidRDefault="00A63E91" w:rsidP="007974CF">
      <w:pPr>
        <w:spacing w:line="240" w:lineRule="auto"/>
      </w:pPr>
    </w:p>
    <w:p w14:paraId="55B75E3A" w14:textId="35EFE3E3" w:rsidR="00A63E91" w:rsidRDefault="00A63E91" w:rsidP="007974CF">
      <w:pPr>
        <w:spacing w:line="240" w:lineRule="auto"/>
      </w:pPr>
      <w:r w:rsidRPr="00487E0F">
        <w:t>Employees often have difficulty finding out from their employers exactly how many hours they have worked which can present a significant proble</w:t>
      </w:r>
      <w:r>
        <w:t xml:space="preserve">m when trying to bring a claim. </w:t>
      </w:r>
      <w:r w:rsidRPr="00487E0F">
        <w:t>Often the amounts of money they are owed is modes</w:t>
      </w:r>
      <w:r w:rsidR="003D1470">
        <w:t xml:space="preserve">t compared to the fees involved </w:t>
      </w:r>
      <w:r>
        <w:t>shoul</w:t>
      </w:r>
      <w:r w:rsidR="003D1470">
        <w:t>d the case be taken to tribunal</w:t>
      </w:r>
      <w:r w:rsidR="00E35916">
        <w:t>,</w:t>
      </w:r>
      <w:r>
        <w:t xml:space="preserve"> </w:t>
      </w:r>
      <w:r w:rsidRPr="00487E0F">
        <w:lastRenderedPageBreak/>
        <w:t xml:space="preserve">which is another reason why </w:t>
      </w:r>
      <w:r>
        <w:t xml:space="preserve">redress </w:t>
      </w:r>
      <w:r w:rsidRPr="00487E0F">
        <w:t>not pursued, in addition to the transient nature of the work done by many employees.</w:t>
      </w:r>
    </w:p>
    <w:p w14:paraId="2BC4CFDB" w14:textId="77777777" w:rsidR="00220620" w:rsidRDefault="00220620" w:rsidP="00C32080">
      <w:pPr>
        <w:spacing w:line="240" w:lineRule="auto"/>
      </w:pPr>
    </w:p>
    <w:p w14:paraId="7772A30F" w14:textId="545B031C" w:rsidR="00A63E91" w:rsidRDefault="00A63E91" w:rsidP="00C32080">
      <w:pPr>
        <w:spacing w:line="240" w:lineRule="auto"/>
      </w:pPr>
      <w:r>
        <w:t xml:space="preserve">Remedies open to workers who face this issue include using </w:t>
      </w:r>
      <w:r w:rsidR="005C2238">
        <w:t xml:space="preserve">ACAS </w:t>
      </w:r>
      <w:r>
        <w:t>dispute resolution or, if that fails, taking an employer to an employment tribunal – however access to employment tribunals has been significantly curtailed by the high application fees. In respect of pay disputes, we believe that it is unrealistic to expect many potential claimants to pay up-front tribunal fees which exceed the value of the underlying claim even where employers would be ordered to pay successful claimants</w:t>
      </w:r>
      <w:r w:rsidR="009C31BE">
        <w:t>’ fees</w:t>
      </w:r>
      <w:r>
        <w:t xml:space="preserve">. Indeed, </w:t>
      </w:r>
      <w:r w:rsidR="009E7E5F">
        <w:t>there is</w:t>
      </w:r>
      <w:r>
        <w:t xml:space="preserve"> evidence </w:t>
      </w:r>
      <w:r w:rsidR="00815E97">
        <w:t>suggesting</w:t>
      </w:r>
      <w:r>
        <w:t xml:space="preserve"> that some workers, if not deterred from bringing claims for unlawful deduction from wages entirely, prefer to issue County Court claims over Employment Tribunal claims.</w:t>
      </w:r>
      <w:r w:rsidR="009E7E5F">
        <w:rPr>
          <w:rStyle w:val="EndnoteReference"/>
        </w:rPr>
        <w:endnoteReference w:id="11"/>
      </w:r>
      <w:r>
        <w:t xml:space="preserve"> </w:t>
      </w:r>
      <w:r w:rsidR="00ED1E2F" w:rsidRPr="00B86842">
        <w:t>T</w:t>
      </w:r>
      <w:r w:rsidRPr="00B86842">
        <w:t>he prospect of recovering the costs associated with bringing a claim in the courts is a relative</w:t>
      </w:r>
      <w:r w:rsidR="00B86842" w:rsidRPr="00B86842">
        <w:t xml:space="preserve"> advantage over tribunal claims. However </w:t>
      </w:r>
      <w:r w:rsidRPr="00B86842">
        <w:t xml:space="preserve">introduction of tribunal fees </w:t>
      </w:r>
      <w:r w:rsidR="00CD5643">
        <w:t xml:space="preserve">has </w:t>
      </w:r>
      <w:r w:rsidRPr="00B86842">
        <w:t>reduced the number of pay claims brought before the Employment Tribunal, including meritorious claims.</w:t>
      </w:r>
    </w:p>
    <w:p w14:paraId="29EE2465" w14:textId="77777777" w:rsidR="00A63E91" w:rsidRDefault="00A63E91" w:rsidP="00C32080">
      <w:pPr>
        <w:spacing w:line="240" w:lineRule="auto"/>
      </w:pPr>
    </w:p>
    <w:p w14:paraId="2FF6F1F6" w14:textId="77777777" w:rsidR="00A63E91" w:rsidRPr="00C32080" w:rsidRDefault="00A63E91" w:rsidP="00C32080">
      <w:pPr>
        <w:spacing w:line="240" w:lineRule="auto"/>
        <w:rPr>
          <w:b/>
          <w:u w:val="single"/>
        </w:rPr>
      </w:pPr>
      <w:r w:rsidRPr="00C32080">
        <w:rPr>
          <w:b/>
          <w:u w:val="single"/>
        </w:rPr>
        <w:t>National minimum wage in the “gig economy”</w:t>
      </w:r>
    </w:p>
    <w:p w14:paraId="2FAD37D8" w14:textId="77777777" w:rsidR="00A63E91" w:rsidRDefault="00A63E91" w:rsidP="00C32080">
      <w:pPr>
        <w:spacing w:line="240" w:lineRule="auto"/>
      </w:pPr>
    </w:p>
    <w:p w14:paraId="0962FB88" w14:textId="3FC1717E" w:rsidR="00A63E91" w:rsidRDefault="00A63E91" w:rsidP="00C32080">
      <w:pPr>
        <w:spacing w:line="240" w:lineRule="auto"/>
      </w:pPr>
      <w:r w:rsidRPr="00E90997">
        <w:t>Whilst innovation and job creation should be fostered and not put in jeopar</w:t>
      </w:r>
      <w:r w:rsidR="00E90997">
        <w:t>dy by government policy</w:t>
      </w:r>
      <w:r w:rsidR="00E35916">
        <w:t>,</w:t>
      </w:r>
      <w:r w:rsidR="00E90997">
        <w:t xml:space="preserve"> there are concerns put in</w:t>
      </w:r>
      <w:r w:rsidRPr="00E90997">
        <w:t xml:space="preserve"> evide</w:t>
      </w:r>
      <w:r w:rsidR="00E90997">
        <w:t>nce to this review, and arising from recent litigation</w:t>
      </w:r>
      <w:r w:rsidR="00006BC8">
        <w:t xml:space="preserve"> (</w:t>
      </w:r>
      <w:proofErr w:type="spellStart"/>
      <w:r w:rsidR="00006BC8">
        <w:t>eg</w:t>
      </w:r>
      <w:proofErr w:type="spellEnd"/>
      <w:r w:rsidR="00006BC8">
        <w:t xml:space="preserve"> the </w:t>
      </w:r>
      <w:r w:rsidR="00006BC8" w:rsidRPr="005F47CC">
        <w:rPr>
          <w:i/>
        </w:rPr>
        <w:t>Uber</w:t>
      </w:r>
      <w:r w:rsidR="00006BC8">
        <w:t xml:space="preserve"> case)</w:t>
      </w:r>
      <w:r w:rsidR="00E90997">
        <w:t>,</w:t>
      </w:r>
      <w:r w:rsidRPr="00E90997">
        <w:t xml:space="preserve"> that certain employment practices in the “gig economy” can in some cases undermine the operation of national minimum wage</w:t>
      </w:r>
      <w:r w:rsidR="00E35916">
        <w:t xml:space="preserve"> (NMW)</w:t>
      </w:r>
      <w:r w:rsidRPr="00E90997">
        <w:t xml:space="preserve"> legislation.</w:t>
      </w:r>
      <w:r w:rsidR="00006BC8">
        <w:rPr>
          <w:rStyle w:val="EndnoteReference"/>
        </w:rPr>
        <w:endnoteReference w:id="12"/>
      </w:r>
      <w:r>
        <w:t xml:space="preserve"> </w:t>
      </w:r>
      <w:r w:rsidR="00E11CE1">
        <w:t>There have since been calls</w:t>
      </w:r>
      <w:r w:rsidR="00815E97">
        <w:t>, including from the Chair of the DWP Select Committee,</w:t>
      </w:r>
      <w:r w:rsidR="00E11CE1">
        <w:t xml:space="preserve"> for Government</w:t>
      </w:r>
      <w:r w:rsidR="00E90997" w:rsidRPr="00E90997">
        <w:t xml:space="preserve"> to guarantee the national minimum wage for gig econo</w:t>
      </w:r>
      <w:r w:rsidR="00E11CE1">
        <w:t>my workers and</w:t>
      </w:r>
      <w:r w:rsidR="00815E97">
        <w:t xml:space="preserve"> a “</w:t>
      </w:r>
      <w:r w:rsidR="00E90997" w:rsidRPr="00E90997">
        <w:t>national standard of</w:t>
      </w:r>
      <w:r w:rsidR="00006BC8">
        <w:t xml:space="preserve"> fair work in the gig economy</w:t>
      </w:r>
      <w:r w:rsidR="00815E97">
        <w:t>.”</w:t>
      </w:r>
      <w:r w:rsidR="00815E97">
        <w:rPr>
          <w:rStyle w:val="EndnoteReference"/>
        </w:rPr>
        <w:endnoteReference w:id="13"/>
      </w:r>
    </w:p>
    <w:p w14:paraId="1B1E48B6" w14:textId="77777777" w:rsidR="00815E97" w:rsidRDefault="00815E97" w:rsidP="00C32080">
      <w:pPr>
        <w:spacing w:line="240" w:lineRule="auto"/>
      </w:pPr>
    </w:p>
    <w:p w14:paraId="3558472E" w14:textId="0D7EA87C" w:rsidR="00A63E91" w:rsidRDefault="00006BC8" w:rsidP="00E11CE1">
      <w:pPr>
        <w:spacing w:line="240" w:lineRule="auto"/>
        <w:ind w:right="-71"/>
      </w:pPr>
      <w:r>
        <w:t>In 2015 Government undertook</w:t>
      </w:r>
      <w:r w:rsidR="00A63E91">
        <w:t xml:space="preserve"> consultation on the draft National Minimum Wage (Consolidation) Regulations.</w:t>
      </w:r>
      <w:r w:rsidR="00B473D7" w:rsidRPr="00B473D7">
        <w:rPr>
          <w:rStyle w:val="EndnoteReference"/>
        </w:rPr>
        <w:t xml:space="preserve"> </w:t>
      </w:r>
      <w:r w:rsidR="00B473D7">
        <w:rPr>
          <w:rStyle w:val="EndnoteReference"/>
        </w:rPr>
        <w:endnoteReference w:id="14"/>
      </w:r>
      <w:r w:rsidR="00A63E91">
        <w:t xml:space="preserve"> A subsequent and wider consultation </w:t>
      </w:r>
      <w:r w:rsidR="00C16346">
        <w:t xml:space="preserve">of policy and guidance on the NMW </w:t>
      </w:r>
      <w:r w:rsidR="00A63E91">
        <w:t>was at that stage proposed by the government</w:t>
      </w:r>
      <w:r w:rsidR="00C16346">
        <w:t xml:space="preserve"> but not taken further at the time</w:t>
      </w:r>
      <w:r w:rsidR="00D14AC8">
        <w:t xml:space="preserve">. </w:t>
      </w:r>
      <w:r w:rsidR="00C16346">
        <w:t xml:space="preserve">The Taylor review is a good </w:t>
      </w:r>
      <w:r w:rsidR="00C16346">
        <w:lastRenderedPageBreak/>
        <w:t>opportunity to revisit those i</w:t>
      </w:r>
      <w:r w:rsidR="00B473D7">
        <w:t>ssu</w:t>
      </w:r>
      <w:r w:rsidR="00C16346">
        <w:t xml:space="preserve">es. </w:t>
      </w:r>
      <w:r w:rsidR="00A63E91">
        <w:t xml:space="preserve">Proposals arising </w:t>
      </w:r>
      <w:r w:rsidR="00E11CE1">
        <w:t xml:space="preserve">from </w:t>
      </w:r>
      <w:r w:rsidR="00A63E91">
        <w:t>the government’s consultation include</w:t>
      </w:r>
      <w:r>
        <w:t>d</w:t>
      </w:r>
      <w:r w:rsidR="00A63E91">
        <w:t xml:space="preserve">: </w:t>
      </w:r>
    </w:p>
    <w:p w14:paraId="16AF8116" w14:textId="4293269C" w:rsidR="00A63E91" w:rsidRDefault="00A63E91" w:rsidP="00BA3B1E">
      <w:pPr>
        <w:pStyle w:val="ListParagraph"/>
        <w:numPr>
          <w:ilvl w:val="0"/>
          <w:numId w:val="33"/>
        </w:numPr>
        <w:spacing w:line="240" w:lineRule="auto"/>
        <w:ind w:left="426" w:hanging="284"/>
      </w:pPr>
      <w:r>
        <w:t>Increasing enforcement of the NMW, including more proactive enforcement and increased fines in cases of prosecution and repeat offenders</w:t>
      </w:r>
      <w:r w:rsidR="00E35916">
        <w:t>;</w:t>
      </w:r>
    </w:p>
    <w:p w14:paraId="65F7E682" w14:textId="223CF58E" w:rsidR="00A63E91" w:rsidRDefault="00A63E91" w:rsidP="00BA3B1E">
      <w:pPr>
        <w:pStyle w:val="ListParagraph"/>
        <w:numPr>
          <w:ilvl w:val="0"/>
          <w:numId w:val="33"/>
        </w:numPr>
        <w:spacing w:line="240" w:lineRule="auto"/>
        <w:ind w:left="426" w:hanging="284"/>
      </w:pPr>
      <w:r>
        <w:t>Requiring employers to provide workers with a statement that clearly sets out how the NMW is calculated</w:t>
      </w:r>
      <w:r w:rsidR="00E35916">
        <w:t>;</w:t>
      </w:r>
    </w:p>
    <w:p w14:paraId="7252E7EF" w14:textId="6D15EAE1" w:rsidR="00006BC8" w:rsidRDefault="00A63E91" w:rsidP="00BA3B1E">
      <w:pPr>
        <w:pStyle w:val="ListParagraph"/>
        <w:numPr>
          <w:ilvl w:val="0"/>
          <w:numId w:val="33"/>
        </w:numPr>
        <w:spacing w:line="240" w:lineRule="auto"/>
        <w:ind w:left="426" w:hanging="284"/>
      </w:pPr>
      <w:r>
        <w:t>Addressing issues relating to "bogus se</w:t>
      </w:r>
      <w:r w:rsidR="00316922">
        <w:t>lf-employed" in some sectors</w:t>
      </w:r>
      <w:r>
        <w:t>.</w:t>
      </w:r>
    </w:p>
    <w:p w14:paraId="7198AC70" w14:textId="77777777" w:rsidR="00006BC8" w:rsidRDefault="00006BC8" w:rsidP="00006BC8">
      <w:pPr>
        <w:pStyle w:val="ListParagraph"/>
        <w:spacing w:line="240" w:lineRule="auto"/>
      </w:pPr>
    </w:p>
    <w:p w14:paraId="6F1B7F52" w14:textId="6A302FB5" w:rsidR="00A63E91" w:rsidRDefault="00A63E91" w:rsidP="00C32080">
      <w:pPr>
        <w:spacing w:line="240" w:lineRule="auto"/>
      </w:pPr>
      <w:r>
        <w:t xml:space="preserve">We urge the government to </w:t>
      </w:r>
      <w:r w:rsidR="00E11CE1">
        <w:t xml:space="preserve">undertake further consultation </w:t>
      </w:r>
      <w:r w:rsidR="002B1D40">
        <w:t xml:space="preserve">and reform </w:t>
      </w:r>
      <w:r w:rsidR="00E11CE1">
        <w:t>in relation to the NMW, especially its application to the</w:t>
      </w:r>
      <w:r>
        <w:t xml:space="preserve"> “gig economy”. </w:t>
      </w:r>
      <w:r w:rsidR="002B1D40">
        <w:t>T</w:t>
      </w:r>
      <w:r>
        <w:t>he Low Pa</w:t>
      </w:r>
      <w:r w:rsidR="002B1D40">
        <w:t>y Commission could be given a more proactive role</w:t>
      </w:r>
      <w:r w:rsidR="00B473D7">
        <w:t xml:space="preserve"> monitoring </w:t>
      </w:r>
      <w:r>
        <w:t>the so-called</w:t>
      </w:r>
      <w:r w:rsidR="002B1D40">
        <w:t xml:space="preserve"> “gig economy”,</w:t>
      </w:r>
      <w:r>
        <w:t xml:space="preserve"> particular</w:t>
      </w:r>
      <w:r w:rsidR="002B1D40">
        <w:t>ly</w:t>
      </w:r>
      <w:r>
        <w:t xml:space="preserve"> in relation to practices in certa</w:t>
      </w:r>
      <w:r w:rsidR="00332A3F">
        <w:t>in industries, such as the hospitality</w:t>
      </w:r>
      <w:r>
        <w:t xml:space="preserve"> industry which has complex supply chains and a hig</w:t>
      </w:r>
      <w:r w:rsidR="00332A3F">
        <w:t xml:space="preserve">h prevalence of agency workers. </w:t>
      </w:r>
      <w:r w:rsidR="00B473D7">
        <w:t>The Commission’s</w:t>
      </w:r>
      <w:r>
        <w:t xml:space="preserve"> ro</w:t>
      </w:r>
      <w:r w:rsidR="00B473D7">
        <w:t>le would be especially useful in situations</w:t>
      </w:r>
      <w:r>
        <w:t xml:space="preserve"> where it is unrealistic to expect individuals to assert rights</w:t>
      </w:r>
      <w:r w:rsidR="002D36D5">
        <w:t>; we envisage that the Low Pay Commission sh</w:t>
      </w:r>
      <w:r w:rsidR="00B473D7">
        <w:t xml:space="preserve">ould work with the </w:t>
      </w:r>
      <w:r w:rsidR="00C45AB7">
        <w:t>Directorate</w:t>
      </w:r>
      <w:r w:rsidR="002D36D5">
        <w:t xml:space="preserve"> of Labour Market E</w:t>
      </w:r>
      <w:r w:rsidR="00B473D7">
        <w:t>nforcement</w:t>
      </w:r>
      <w:r>
        <w:t xml:space="preserve"> </w:t>
      </w:r>
      <w:r w:rsidR="00C45AB7">
        <w:t xml:space="preserve">(DLME) </w:t>
      </w:r>
      <w:r>
        <w:t xml:space="preserve">to </w:t>
      </w:r>
      <w:r w:rsidR="00B473D7">
        <w:t xml:space="preserve">identify and </w:t>
      </w:r>
      <w:r>
        <w:t>highlight unlawful industry-wide pract</w:t>
      </w:r>
      <w:r w:rsidR="00B473D7">
        <w:t>i</w:t>
      </w:r>
      <w:r w:rsidR="002B1D40">
        <w:t>ces</w:t>
      </w:r>
      <w:r w:rsidR="00B473D7">
        <w:t>.</w:t>
      </w:r>
    </w:p>
    <w:p w14:paraId="0CF05EC2" w14:textId="77777777" w:rsidR="00A63E91" w:rsidRDefault="00A63E91" w:rsidP="00C32080">
      <w:pPr>
        <w:spacing w:line="240" w:lineRule="auto"/>
      </w:pPr>
    </w:p>
    <w:p w14:paraId="7C6FF697" w14:textId="18BD1C1B" w:rsidR="00A63E91" w:rsidRDefault="00A63E91" w:rsidP="00C32080">
      <w:pPr>
        <w:spacing w:line="240" w:lineRule="auto"/>
      </w:pPr>
      <w:r>
        <w:t>The trade union, Unite,</w:t>
      </w:r>
      <w:r w:rsidR="006669C6">
        <w:t xml:space="preserve"> and the TUC have both</w:t>
      </w:r>
      <w:r>
        <w:t xml:space="preserve"> reported that some employers have responded to an increase in the NMW by employing more workers under precarious working arrangements, such as zero contract hours and agency work, as a mechanism to, in effect, compensate for increases to the NMW.</w:t>
      </w:r>
      <w:r w:rsidR="00083223">
        <w:rPr>
          <w:rStyle w:val="EndnoteReference"/>
        </w:rPr>
        <w:endnoteReference w:id="15"/>
      </w:r>
      <w:r>
        <w:t xml:space="preserve"> </w:t>
      </w:r>
      <w:r w:rsidR="002B1D40">
        <w:t xml:space="preserve">Such </w:t>
      </w:r>
      <w:r>
        <w:t xml:space="preserve">avoidance strategies can make </w:t>
      </w:r>
      <w:r w:rsidR="002B1D40">
        <w:t xml:space="preserve">it </w:t>
      </w:r>
      <w:r>
        <w:t>impracticable or unrealistic</w:t>
      </w:r>
      <w:r w:rsidR="002B1D40">
        <w:t xml:space="preserve"> to tackle the </w:t>
      </w:r>
      <w:r w:rsidR="006708B9">
        <w:t>through</w:t>
      </w:r>
      <w:r>
        <w:t xml:space="preserve"> Employment Tribunal</w:t>
      </w:r>
      <w:r w:rsidR="006708B9">
        <w:t>s</w:t>
      </w:r>
      <w:r w:rsidR="002B1D40">
        <w:t>, hence we believe that bodies like th</w:t>
      </w:r>
      <w:r w:rsidR="00C45AB7">
        <w:t>e Low Pay Commission and the DLME</w:t>
      </w:r>
      <w:r w:rsidR="002B1D40">
        <w:t xml:space="preserve"> are</w:t>
      </w:r>
      <w:r>
        <w:t xml:space="preserve"> best placed to gather and analyse industry data, alongside other orga</w:t>
      </w:r>
      <w:r w:rsidR="009E7E5F">
        <w:t>nisations such as trade unions</w:t>
      </w:r>
      <w:r>
        <w:t>, Citizens Advice and other stakeholders, with a view to informing government policy and legislation.</w:t>
      </w:r>
    </w:p>
    <w:p w14:paraId="6E53EEF2" w14:textId="77777777" w:rsidR="00A63E91" w:rsidRDefault="00A63E91" w:rsidP="00C32080">
      <w:pPr>
        <w:spacing w:line="240" w:lineRule="auto"/>
      </w:pPr>
    </w:p>
    <w:p w14:paraId="771D0C43" w14:textId="77777777" w:rsidR="006669C6" w:rsidRDefault="006669C6" w:rsidP="00C32080">
      <w:pPr>
        <w:spacing w:line="240" w:lineRule="auto"/>
      </w:pPr>
    </w:p>
    <w:p w14:paraId="306C614C" w14:textId="77777777" w:rsidR="006669C6" w:rsidRDefault="006669C6" w:rsidP="00C32080">
      <w:pPr>
        <w:spacing w:line="240" w:lineRule="auto"/>
      </w:pPr>
    </w:p>
    <w:p w14:paraId="455D732B" w14:textId="77777777" w:rsidR="00A63E91" w:rsidRDefault="00A63E91" w:rsidP="00F46E89">
      <w:pPr>
        <w:spacing w:line="240" w:lineRule="auto"/>
        <w:rPr>
          <w:rFonts w:ascii="Verdana" w:hAnsi="Verdana"/>
          <w:b/>
          <w:bCs/>
          <w:i/>
          <w:color w:val="0086C1" w:themeColor="accent3"/>
          <w:sz w:val="26"/>
          <w:szCs w:val="22"/>
        </w:rPr>
      </w:pPr>
      <w:r>
        <w:rPr>
          <w:rFonts w:ascii="Verdana" w:hAnsi="Verdana"/>
          <w:b/>
          <w:bCs/>
          <w:i/>
          <w:color w:val="0086C1" w:themeColor="accent3"/>
          <w:sz w:val="26"/>
          <w:szCs w:val="22"/>
        </w:rPr>
        <w:lastRenderedPageBreak/>
        <w:t>R</w:t>
      </w:r>
      <w:r w:rsidRPr="00487E0F">
        <w:rPr>
          <w:rFonts w:ascii="Verdana" w:hAnsi="Verdana"/>
          <w:b/>
          <w:bCs/>
          <w:i/>
          <w:color w:val="0086C1" w:themeColor="accent3"/>
          <w:sz w:val="26"/>
          <w:szCs w:val="22"/>
        </w:rPr>
        <w:t>ights</w:t>
      </w:r>
      <w:r>
        <w:rPr>
          <w:rFonts w:ascii="Verdana" w:hAnsi="Verdana"/>
          <w:b/>
          <w:bCs/>
          <w:i/>
          <w:color w:val="0086C1" w:themeColor="accent3"/>
          <w:sz w:val="26"/>
          <w:szCs w:val="22"/>
        </w:rPr>
        <w:t xml:space="preserve"> and redress</w:t>
      </w:r>
    </w:p>
    <w:p w14:paraId="2D181CA7" w14:textId="77777777" w:rsidR="00A63E91" w:rsidRDefault="00A63E91" w:rsidP="007974CF">
      <w:pPr>
        <w:spacing w:line="240" w:lineRule="auto"/>
      </w:pPr>
    </w:p>
    <w:p w14:paraId="110FF8F4" w14:textId="4A57CDD1" w:rsidR="00A63E91" w:rsidRDefault="00A63E91" w:rsidP="00791969">
      <w:pPr>
        <w:spacing w:line="240" w:lineRule="auto"/>
      </w:pPr>
      <w:r>
        <w:t xml:space="preserve">The degree to which a right is effective is self-evidently linked with the ability to enforce it. </w:t>
      </w:r>
      <w:r w:rsidR="002B1D40">
        <w:t>It is in this context that we hope the review will address to extent which</w:t>
      </w:r>
      <w:r>
        <w:t xml:space="preserve"> </w:t>
      </w:r>
      <w:r w:rsidR="0064337C">
        <w:t xml:space="preserve">access to justice has been excessively curtailed </w:t>
      </w:r>
      <w:r>
        <w:t>following the introduction of the Employment Tribunals and the Employment Appeal Tribunal Fees Order 2013</w:t>
      </w:r>
      <w:r w:rsidR="0064337C">
        <w:t>.</w:t>
      </w:r>
      <w:r w:rsidR="0064337C">
        <w:rPr>
          <w:rStyle w:val="EndnoteReference"/>
        </w:rPr>
        <w:endnoteReference w:id="16"/>
      </w:r>
      <w:r>
        <w:t xml:space="preserve"> </w:t>
      </w:r>
    </w:p>
    <w:p w14:paraId="0C87F1AD" w14:textId="77777777" w:rsidR="0064337C" w:rsidRDefault="0064337C" w:rsidP="00791969">
      <w:pPr>
        <w:spacing w:line="240" w:lineRule="auto"/>
      </w:pPr>
    </w:p>
    <w:p w14:paraId="42BB3F86" w14:textId="565CDA30" w:rsidR="00A63E91" w:rsidRDefault="0064337C" w:rsidP="00791969">
      <w:pPr>
        <w:spacing w:line="240" w:lineRule="auto"/>
      </w:pPr>
      <w:r>
        <w:t>The Government in its 2011 consultation</w:t>
      </w:r>
      <w:r w:rsidR="00A63E91">
        <w:t xml:space="preserve"> </w:t>
      </w:r>
      <w:r>
        <w:t xml:space="preserve">claim that prior </w:t>
      </w:r>
      <w:r w:rsidR="00A63E91">
        <w:t>the</w:t>
      </w:r>
      <w:r w:rsidR="00815E97">
        <w:t xml:space="preserve"> introduction of fees</w:t>
      </w:r>
      <w:r w:rsidR="00A63E91">
        <w:t xml:space="preserve"> </w:t>
      </w:r>
      <w:r w:rsidR="00E35916">
        <w:t xml:space="preserve">the </w:t>
      </w:r>
      <w:r w:rsidR="00A63E91">
        <w:t>Employment Tribunal service was</w:t>
      </w:r>
      <w:r w:rsidR="00E35916">
        <w:t xml:space="preserve"> </w:t>
      </w:r>
      <w:r w:rsidR="005C1BE2">
        <w:t>not fit for purpose</w:t>
      </w:r>
      <w:r w:rsidR="00E35916">
        <w:t>,</w:t>
      </w:r>
      <w:r w:rsidR="00A63E91">
        <w:t xml:space="preserve"> leading to</w:t>
      </w:r>
      <w:r w:rsidR="005C1BE2">
        <w:t xml:space="preserve"> too many</w:t>
      </w:r>
      <w:r w:rsidR="00A63E91">
        <w:t xml:space="preserve"> frivolous or unmeritorious claims</w:t>
      </w:r>
      <w:r w:rsidR="005C1BE2">
        <w:t xml:space="preserve"> being brought</w:t>
      </w:r>
      <w:r w:rsidR="00A63E91">
        <w:t>.</w:t>
      </w:r>
      <w:r>
        <w:rPr>
          <w:rStyle w:val="EndnoteReference"/>
        </w:rPr>
        <w:endnoteReference w:id="17"/>
      </w:r>
      <w:r w:rsidR="00815E97">
        <w:t xml:space="preserve"> We question the evidence behind this and</w:t>
      </w:r>
      <w:r w:rsidR="00A63E91">
        <w:t xml:space="preserve"> believe that a more effective balance can be struck between greater </w:t>
      </w:r>
      <w:proofErr w:type="gramStart"/>
      <w:r w:rsidR="00A63E91">
        <w:t>access</w:t>
      </w:r>
      <w:proofErr w:type="gramEnd"/>
      <w:r w:rsidR="00A63E91">
        <w:t xml:space="preserve"> to the Employment Tribunals on the one hand and greater case management powers to deal with unmeritor</w:t>
      </w:r>
      <w:r w:rsidR="005C1BE2">
        <w:t xml:space="preserve">ious claims on the other hand. </w:t>
      </w:r>
      <w:r w:rsidR="00A63E91">
        <w:t xml:space="preserve">The government’s reasons for introducing the Fees Order 2013 were said to be to avoid “drawn out disputes” which are “very emotionally damaging for workers and employers, as well as being financially damaging for employers”. </w:t>
      </w:r>
      <w:r w:rsidR="00AD0C80" w:rsidRPr="00AD0C80">
        <w:t>Whilst we understand</w:t>
      </w:r>
      <w:r w:rsidR="00A63E91" w:rsidRPr="00AD0C80">
        <w:t xml:space="preserve"> these aims</w:t>
      </w:r>
      <w:r w:rsidR="00AD0C80" w:rsidRPr="00AD0C80">
        <w:t>,</w:t>
      </w:r>
      <w:r w:rsidR="00AD0C80">
        <w:t xml:space="preserve"> </w:t>
      </w:r>
      <w:r w:rsidR="00A63E91">
        <w:t>we believe that tribunal fees should not deter meritorious claims and a greater focus should be placed upon reform of the Employment Tribunal case management powers to address many of the issues raised by the government, rather than an over reliance upon tribunal fees. The reforms to the Employment Tribunal’s case management powers</w:t>
      </w:r>
      <w:r w:rsidR="00E35916">
        <w:t>,</w:t>
      </w:r>
      <w:r w:rsidR="00A63E91">
        <w:t xml:space="preserve"> following the review of Mr Justice Underhill in 2012</w:t>
      </w:r>
      <w:r w:rsidR="00E35916">
        <w:t>,</w:t>
      </w:r>
      <w:r w:rsidR="00A63E91">
        <w:t xml:space="preserve"> show that changes to the procedures </w:t>
      </w:r>
      <w:r w:rsidR="00AD0C80">
        <w:t>can be used to</w:t>
      </w:r>
      <w:r w:rsidR="00A63E91">
        <w:t xml:space="preserve"> address many of the issu</w:t>
      </w:r>
      <w:r w:rsidR="00172680">
        <w:t>es identified by the government.</w:t>
      </w:r>
      <w:r w:rsidR="00CD5643">
        <w:rPr>
          <w:rStyle w:val="EndnoteReference"/>
        </w:rPr>
        <w:endnoteReference w:id="18"/>
      </w:r>
      <w:r w:rsidR="00172680">
        <w:t xml:space="preserve"> </w:t>
      </w:r>
      <w:r w:rsidR="00A63E91">
        <w:t xml:space="preserve">Further, the joint </w:t>
      </w:r>
      <w:proofErr w:type="spellStart"/>
      <w:r w:rsidR="00A63E91">
        <w:t>MoJ</w:t>
      </w:r>
      <w:proofErr w:type="spellEnd"/>
      <w:r w:rsidR="00A63E91">
        <w:t xml:space="preserve"> and BEIS review, </w:t>
      </w:r>
      <w:proofErr w:type="gramStart"/>
      <w:r w:rsidR="00A63E91" w:rsidRPr="00E11CE1">
        <w:rPr>
          <w:i/>
        </w:rPr>
        <w:t>Reforming</w:t>
      </w:r>
      <w:proofErr w:type="gramEnd"/>
      <w:r w:rsidR="00A63E91" w:rsidRPr="00E11CE1">
        <w:rPr>
          <w:i/>
        </w:rPr>
        <w:t xml:space="preserve"> the Employment Tribunal System,</w:t>
      </w:r>
      <w:r w:rsidR="00A63E91">
        <w:t xml:space="preserve"> is another opportunity to address the issues raised by the government.</w:t>
      </w:r>
      <w:r w:rsidR="00083223">
        <w:rPr>
          <w:rStyle w:val="EndnoteReference"/>
        </w:rPr>
        <w:endnoteReference w:id="19"/>
      </w:r>
      <w:r w:rsidR="00A63E91">
        <w:t xml:space="preserve"> </w:t>
      </w:r>
    </w:p>
    <w:p w14:paraId="2480CAC7" w14:textId="77777777" w:rsidR="00A63E91" w:rsidRDefault="00A63E91" w:rsidP="00791969">
      <w:pPr>
        <w:spacing w:line="240" w:lineRule="auto"/>
      </w:pPr>
    </w:p>
    <w:p w14:paraId="7BEFF8A0" w14:textId="6B26AD6F" w:rsidR="00A63E91" w:rsidRDefault="00A63E91" w:rsidP="00791969">
      <w:pPr>
        <w:spacing w:line="240" w:lineRule="auto"/>
      </w:pPr>
      <w:r>
        <w:t>The fees payable under the Fees Order 2013 range from £390 to £1600. Official statistics show that the number of issued claims has fallen in the region of 80%.</w:t>
      </w:r>
      <w:r w:rsidR="00720490">
        <w:rPr>
          <w:rStyle w:val="EndnoteReference"/>
        </w:rPr>
        <w:endnoteReference w:id="20"/>
      </w:r>
      <w:r>
        <w:t xml:space="preserve"> In January 2017 the Ministry of Justice belatedly published its review of the fees regime, concluding that the regime has broadly worked </w:t>
      </w:r>
      <w:r>
        <w:lastRenderedPageBreak/>
        <w:t>well, discouraging individuals from bringing claims rather than preventing them.</w:t>
      </w:r>
      <w:r w:rsidR="002B1D40">
        <w:rPr>
          <w:rStyle w:val="EndnoteReference"/>
        </w:rPr>
        <w:endnoteReference w:id="21"/>
      </w:r>
      <w:r>
        <w:t xml:space="preserve"> Despite this the </w:t>
      </w:r>
      <w:proofErr w:type="spellStart"/>
      <w:r>
        <w:t>MoJ</w:t>
      </w:r>
      <w:proofErr w:type="spellEnd"/>
      <w:r>
        <w:t xml:space="preserve"> recognises that some action is necessary, including a consultation around fees remission with a view to increasing thresholds. </w:t>
      </w:r>
    </w:p>
    <w:p w14:paraId="40220524" w14:textId="77777777" w:rsidR="00A63E91" w:rsidRDefault="00A63E91" w:rsidP="00791969">
      <w:pPr>
        <w:spacing w:line="240" w:lineRule="auto"/>
      </w:pPr>
    </w:p>
    <w:p w14:paraId="742C0905" w14:textId="527E03E7" w:rsidR="00A63E91" w:rsidRDefault="00A63E91" w:rsidP="00791969">
      <w:pPr>
        <w:spacing w:line="240" w:lineRule="auto"/>
      </w:pPr>
      <w:r>
        <w:t xml:space="preserve">We believe that this review should go further than the recommendations in the </w:t>
      </w:r>
      <w:proofErr w:type="spellStart"/>
      <w:r>
        <w:t>MoJ’s</w:t>
      </w:r>
      <w:proofErr w:type="spellEnd"/>
      <w:r>
        <w:t xml:space="preserve"> review. Indeed, the appeal pending in the Supreme Court</w:t>
      </w:r>
      <w:r w:rsidR="00E35916">
        <w:t>,</w:t>
      </w:r>
      <w:r>
        <w:t xml:space="preserve"> arising out of a judicial review of the fees regime brought by Unison in 2014</w:t>
      </w:r>
      <w:r w:rsidR="00E35916">
        <w:t>,</w:t>
      </w:r>
      <w:r>
        <w:t xml:space="preserve"> paints an altogether different picture of the sorts of claims that are no longer brought following the introduction of the Fees Order 2013. Further, in June 2016 the House of Commons Ju</w:t>
      </w:r>
      <w:r w:rsidR="002B1D40">
        <w:t>stice Committee reported on changes to court and tribunal fees</w:t>
      </w:r>
      <w:r>
        <w:t xml:space="preserve">, </w:t>
      </w:r>
      <w:r w:rsidR="002B1D40">
        <w:t xml:space="preserve">including </w:t>
      </w:r>
      <w:r>
        <w:t>the Fees Order 2013.</w:t>
      </w:r>
      <w:r w:rsidR="00CD671C">
        <w:rPr>
          <w:rStyle w:val="EndnoteReference"/>
        </w:rPr>
        <w:endnoteReference w:id="22"/>
      </w:r>
      <w:r>
        <w:t xml:space="preserve"> The Justice Committee Report concluded that the introduction of tribunal fees had, contrary to the </w:t>
      </w:r>
      <w:proofErr w:type="spellStart"/>
      <w:r>
        <w:t>MoJ’s</w:t>
      </w:r>
      <w:proofErr w:type="spellEnd"/>
      <w:r>
        <w:t xml:space="preserve"> findings, adversely impacted access to justice for meritorious claims. </w:t>
      </w:r>
    </w:p>
    <w:p w14:paraId="586307F1" w14:textId="77777777" w:rsidR="00A63E91" w:rsidRDefault="00A63E91" w:rsidP="00791969">
      <w:pPr>
        <w:spacing w:line="240" w:lineRule="auto"/>
      </w:pPr>
    </w:p>
    <w:p w14:paraId="6A347D98" w14:textId="77777777" w:rsidR="00A63E91" w:rsidRDefault="00A63E91" w:rsidP="00791969">
      <w:pPr>
        <w:spacing w:line="240" w:lineRule="auto"/>
      </w:pPr>
      <w:r>
        <w:t>The Justice Select Committee Report made a number of proposals, including:</w:t>
      </w:r>
    </w:p>
    <w:p w14:paraId="7AC31046" w14:textId="17A51BFC" w:rsidR="00A63E91" w:rsidRDefault="00A63E91" w:rsidP="00372A4F">
      <w:pPr>
        <w:pStyle w:val="ListParagraph"/>
        <w:numPr>
          <w:ilvl w:val="0"/>
          <w:numId w:val="32"/>
        </w:numPr>
        <w:spacing w:line="240" w:lineRule="auto"/>
        <w:ind w:left="426" w:hanging="284"/>
      </w:pPr>
      <w:r>
        <w:t>very substantially reducing the level of fees</w:t>
      </w:r>
      <w:r w:rsidR="00E35916">
        <w:t>;</w:t>
      </w:r>
    </w:p>
    <w:p w14:paraId="28544864" w14:textId="342F4C64" w:rsidR="00A63E91" w:rsidRDefault="00A63E91" w:rsidP="00372A4F">
      <w:pPr>
        <w:pStyle w:val="ListParagraph"/>
        <w:numPr>
          <w:ilvl w:val="0"/>
          <w:numId w:val="32"/>
        </w:numPr>
        <w:spacing w:line="240" w:lineRule="auto"/>
        <w:ind w:left="426" w:hanging="284"/>
      </w:pPr>
      <w:r>
        <w:t>introducing a more proportionate and sophisticated fee structure, replacing the current Type A and Type B claims</w:t>
      </w:r>
      <w:r w:rsidR="00E35916">
        <w:t>;</w:t>
      </w:r>
    </w:p>
    <w:p w14:paraId="4469DAA7" w14:textId="77777777" w:rsidR="00A63E91" w:rsidRDefault="00A63E91" w:rsidP="00372A4F">
      <w:pPr>
        <w:pStyle w:val="ListParagraph"/>
        <w:numPr>
          <w:ilvl w:val="0"/>
          <w:numId w:val="32"/>
        </w:numPr>
        <w:spacing w:line="240" w:lineRule="auto"/>
        <w:ind w:left="426" w:hanging="284"/>
      </w:pPr>
      <w:r>
        <w:t>simplifying and increasing the financial thresholds for fee remission; and,</w:t>
      </w:r>
    </w:p>
    <w:p w14:paraId="2BF60698" w14:textId="77777777" w:rsidR="00A63E91" w:rsidRDefault="00A63E91" w:rsidP="00372A4F">
      <w:pPr>
        <w:pStyle w:val="ListParagraph"/>
        <w:numPr>
          <w:ilvl w:val="0"/>
          <w:numId w:val="32"/>
        </w:numPr>
        <w:spacing w:line="240" w:lineRule="auto"/>
        <w:ind w:left="426" w:hanging="284"/>
      </w:pPr>
      <w:proofErr w:type="gramStart"/>
      <w:r>
        <w:t>adapting</w:t>
      </w:r>
      <w:proofErr w:type="gramEnd"/>
      <w:r>
        <w:t xml:space="preserve"> procedures to the special position of women who allege maternity or pregnancy discrimination.</w:t>
      </w:r>
    </w:p>
    <w:p w14:paraId="1867CB77" w14:textId="77777777" w:rsidR="00A63E91" w:rsidRDefault="00A63E91" w:rsidP="00791969">
      <w:pPr>
        <w:spacing w:line="240" w:lineRule="auto"/>
      </w:pPr>
    </w:p>
    <w:p w14:paraId="60F54A54" w14:textId="362A0D09" w:rsidR="00A63E91" w:rsidRDefault="00A63E91" w:rsidP="00791969">
      <w:pPr>
        <w:spacing w:line="240" w:lineRule="auto"/>
      </w:pPr>
      <w:r>
        <w:t>We support the Justice Committee Report’s proposals. We b</w:t>
      </w:r>
      <w:r w:rsidR="002B1D40">
        <w:t>elieve that proper procedures c</w:t>
      </w:r>
      <w:r>
        <w:t xml:space="preserve">ould be in place once claims have been brought to </w:t>
      </w:r>
      <w:proofErr w:type="spellStart"/>
      <w:r>
        <w:t>disincentivise</w:t>
      </w:r>
      <w:proofErr w:type="spellEnd"/>
      <w:r>
        <w:t xml:space="preserve"> certain claims or claimants, including striking claims out and managing mutually damaging or drawn out claims better.</w:t>
      </w:r>
    </w:p>
    <w:p w14:paraId="3D3157E6" w14:textId="77777777" w:rsidR="00A63E91" w:rsidRDefault="00A63E91" w:rsidP="00873474">
      <w:pPr>
        <w:spacing w:line="240" w:lineRule="auto"/>
      </w:pPr>
    </w:p>
    <w:p w14:paraId="2905F529" w14:textId="77777777" w:rsidR="00A63E91" w:rsidRDefault="00A63E91" w:rsidP="00873474">
      <w:pPr>
        <w:spacing w:line="240" w:lineRule="auto"/>
        <w:rPr>
          <w:b/>
          <w:u w:val="single"/>
        </w:rPr>
      </w:pPr>
      <w:r>
        <w:rPr>
          <w:b/>
          <w:u w:val="single"/>
        </w:rPr>
        <w:t>Information, advice and e</w:t>
      </w:r>
      <w:r w:rsidRPr="00F46E89">
        <w:rPr>
          <w:b/>
          <w:u w:val="single"/>
        </w:rPr>
        <w:t>arly redress</w:t>
      </w:r>
    </w:p>
    <w:p w14:paraId="2EAE9E37" w14:textId="77777777" w:rsidR="00E11CE1" w:rsidRDefault="00E11CE1" w:rsidP="004204AC">
      <w:pPr>
        <w:spacing w:line="240" w:lineRule="auto"/>
        <w:rPr>
          <w:b/>
          <w:u w:val="single"/>
        </w:rPr>
      </w:pPr>
    </w:p>
    <w:p w14:paraId="5919694C" w14:textId="1AC822B6" w:rsidR="00A353EF" w:rsidRDefault="00A63E91" w:rsidP="004204AC">
      <w:pPr>
        <w:spacing w:line="240" w:lineRule="auto"/>
      </w:pPr>
      <w:r w:rsidRPr="00CB65F8">
        <w:t xml:space="preserve">We would especially like to see the review take up the issue of the link between advice, rights and </w:t>
      </w:r>
      <w:r w:rsidR="00815E97">
        <w:t>redress. M</w:t>
      </w:r>
      <w:r>
        <w:t xml:space="preserve">any local Citizens Advice and Law Centres don't have the capacity they used to have </w:t>
      </w:r>
      <w:r>
        <w:lastRenderedPageBreak/>
        <w:t xml:space="preserve">to deal with employment law problems since the abolition of legal help for employment law issues in 2013. Whilst this was only a </w:t>
      </w:r>
      <w:r w:rsidR="00E35916">
        <w:t xml:space="preserve">relatively </w:t>
      </w:r>
      <w:r>
        <w:t>small amount of funding - approximately £3 million</w:t>
      </w:r>
      <w:r w:rsidR="00E35916">
        <w:t xml:space="preserve"> a year - </w:t>
      </w:r>
      <w:r>
        <w:t xml:space="preserve">it enabled a network of employment rights advisers to operate across the country embedded in the advice sector and local law firms. </w:t>
      </w:r>
    </w:p>
    <w:p w14:paraId="3EE95E54" w14:textId="77777777" w:rsidR="00A353EF" w:rsidRDefault="00A353EF" w:rsidP="004204AC">
      <w:pPr>
        <w:spacing w:line="240" w:lineRule="auto"/>
      </w:pPr>
    </w:p>
    <w:p w14:paraId="19D48E91" w14:textId="77777777" w:rsidR="00A63E91" w:rsidRDefault="00A63E91" w:rsidP="004204AC">
      <w:pPr>
        <w:spacing w:line="240" w:lineRule="auto"/>
      </w:pPr>
      <w:r>
        <w:t>Under the Legal Help Scheme public funding for advice and assistance for the preparation of</w:t>
      </w:r>
    </w:p>
    <w:p w14:paraId="0A6E002F" w14:textId="42DB1B16" w:rsidR="00A63E91" w:rsidRDefault="00A63E91" w:rsidP="004204AC">
      <w:pPr>
        <w:spacing w:line="240" w:lineRule="auto"/>
      </w:pPr>
      <w:proofErr w:type="gramStart"/>
      <w:r>
        <w:t>tribunal</w:t>
      </w:r>
      <w:proofErr w:type="gramEnd"/>
      <w:r>
        <w:t xml:space="preserve"> claims up to, but not including, representation at the Tribunal was available with some </w:t>
      </w:r>
      <w:r w:rsidRPr="00E75E0E">
        <w:t>179</w:t>
      </w:r>
      <w:r>
        <w:t xml:space="preserve"> legal and</w:t>
      </w:r>
      <w:r w:rsidRPr="00E75E0E">
        <w:t xml:space="preserve"> </w:t>
      </w:r>
      <w:r>
        <w:t xml:space="preserve">advice providers' </w:t>
      </w:r>
      <w:r w:rsidRPr="00E75E0E">
        <w:t>offices franchised</w:t>
      </w:r>
      <w:r>
        <w:t xml:space="preserve"> to provide this service, dealing with around 20,000 cases annually</w:t>
      </w:r>
      <w:r w:rsidR="00A353EF">
        <w:t>.</w:t>
      </w:r>
      <w:r w:rsidR="00CD671C">
        <w:rPr>
          <w:rStyle w:val="EndnoteReference"/>
        </w:rPr>
        <w:endnoteReference w:id="23"/>
      </w:r>
      <w:r w:rsidR="00A353EF">
        <w:t xml:space="preserve"> </w:t>
      </w:r>
      <w:r>
        <w:t xml:space="preserve">At the same time that funding for employment </w:t>
      </w:r>
      <w:r w:rsidR="00CD671C">
        <w:t xml:space="preserve">rights legal aid </w:t>
      </w:r>
      <w:r>
        <w:t xml:space="preserve">was </w:t>
      </w:r>
      <w:r w:rsidR="00E35916">
        <w:t xml:space="preserve">removed, </w:t>
      </w:r>
      <w:r>
        <w:t xml:space="preserve"> many other rights</w:t>
      </w:r>
      <w:r w:rsidR="00E35916">
        <w:t>-</w:t>
      </w:r>
      <w:r>
        <w:t xml:space="preserve">based information and advisory services also faced cuts to </w:t>
      </w:r>
      <w:r w:rsidR="00CD671C">
        <w:t xml:space="preserve">their </w:t>
      </w:r>
      <w:r>
        <w:t>specialist help - for example the Equality and Human Rights Commission's casework service and helpline.</w:t>
      </w:r>
    </w:p>
    <w:p w14:paraId="3909C4B2" w14:textId="77777777" w:rsidR="00A63E91" w:rsidRDefault="00A63E91" w:rsidP="004204AC">
      <w:pPr>
        <w:spacing w:line="240" w:lineRule="auto"/>
      </w:pPr>
    </w:p>
    <w:p w14:paraId="46CBAE4A" w14:textId="0AE8503A" w:rsidR="00A63E91" w:rsidRDefault="00A63E91" w:rsidP="00047C5D">
      <w:pPr>
        <w:spacing w:line="240" w:lineRule="auto"/>
      </w:pPr>
      <w:r>
        <w:t>Pro bono projects can help to plug some of these gaps, a</w:t>
      </w:r>
      <w:r w:rsidR="00E35916">
        <w:t>s evidenced by the</w:t>
      </w:r>
      <w:r>
        <w:t xml:space="preserve"> growing appetite f</w:t>
      </w:r>
      <w:r w:rsidR="00544327">
        <w:t>or Law Schools to do more in this</w:t>
      </w:r>
      <w:r>
        <w:t xml:space="preserve"> space. For example</w:t>
      </w:r>
      <w:r w:rsidRPr="00047C5D">
        <w:t xml:space="preserve"> </w:t>
      </w:r>
      <w:r w:rsidR="00815E97">
        <w:t>i</w:t>
      </w:r>
      <w:r>
        <w:t>n response to a recent case involving the closure of a ste</w:t>
      </w:r>
      <w:r w:rsidR="00544327">
        <w:t xml:space="preserve">elworks in </w:t>
      </w:r>
      <w:proofErr w:type="spellStart"/>
      <w:r w:rsidR="00544327">
        <w:t>Middlesborough</w:t>
      </w:r>
      <w:proofErr w:type="spellEnd"/>
      <w:r w:rsidR="00544327">
        <w:t>, the s</w:t>
      </w:r>
      <w:r>
        <w:t xml:space="preserve">tudents at Teesside Law Clinic </w:t>
      </w:r>
      <w:r w:rsidR="00ED1E2F">
        <w:t>assisted those employees</w:t>
      </w:r>
      <w:r>
        <w:t xml:space="preserve"> not represented by a </w:t>
      </w:r>
      <w:r w:rsidR="00ED1E2F">
        <w:t>union. The</w:t>
      </w:r>
      <w:r>
        <w:t xml:space="preserve"> employees had been informed they would not be entitled to a ‘protective award’ as a result of the closure in respect of a failure to consult on redundancies. The clinic advance</w:t>
      </w:r>
      <w:r w:rsidR="00ED1E2F">
        <w:t>d claims on behalf of over 300 ex-employees, and submitted</w:t>
      </w:r>
      <w:r>
        <w:t xml:space="preserve"> an application to the Employment Tribunal resulting in each client receiving £3,600 in respect of the protective award. </w:t>
      </w:r>
      <w:r w:rsidR="00ED1E2F">
        <w:t>T</w:t>
      </w:r>
      <w:r>
        <w:t>hese pay-outs went someway to assistin</w:t>
      </w:r>
      <w:r w:rsidR="00ED1E2F">
        <w:t>g those affected</w:t>
      </w:r>
      <w:r>
        <w:t xml:space="preserve"> to seek alternative employment, start businesses and look forward to a more positive future. The efforts of the students and Law School were recently recognised in </w:t>
      </w:r>
      <w:r w:rsidR="00E35916">
        <w:t xml:space="preserve">a </w:t>
      </w:r>
      <w:r>
        <w:t xml:space="preserve">pro bono award presented by the Attorney General. </w:t>
      </w:r>
      <w:r w:rsidR="009C31BE">
        <w:rPr>
          <w:rStyle w:val="EndnoteReference"/>
        </w:rPr>
        <w:endnoteReference w:id="24"/>
      </w:r>
    </w:p>
    <w:p w14:paraId="0EEA2D9E" w14:textId="77777777" w:rsidR="00A63E91" w:rsidRDefault="00A63E91" w:rsidP="004204AC">
      <w:pPr>
        <w:spacing w:line="240" w:lineRule="auto"/>
      </w:pPr>
    </w:p>
    <w:p w14:paraId="48E4CCFB" w14:textId="0D5A65B7" w:rsidR="00A63E91" w:rsidRDefault="00A63E91" w:rsidP="004204AC">
      <w:pPr>
        <w:spacing w:line="240" w:lineRule="auto"/>
      </w:pPr>
      <w:r>
        <w:t xml:space="preserve">However, we would emphasise that pro bono alone cannot take on the unmet need for employment advice and that there is a strong case for the restoration of some public funding in this area. </w:t>
      </w:r>
      <w:r w:rsidR="005D785B">
        <w:t xml:space="preserve">As </w:t>
      </w:r>
      <w:r w:rsidR="005D785B">
        <w:lastRenderedPageBreak/>
        <w:t>was pointed out</w:t>
      </w:r>
      <w:r w:rsidR="000273E6">
        <w:t xml:space="preserve"> during the passage of the legal aid reform legislation, this was only</w:t>
      </w:r>
      <w:r w:rsidR="00E35916">
        <w:t xml:space="preserve"> </w:t>
      </w:r>
      <w:proofErr w:type="spellStart"/>
      <w:r w:rsidR="00E35916">
        <w:t>a</w:t>
      </w:r>
      <w:r w:rsidR="000273E6">
        <w:t>minimal</w:t>
      </w:r>
      <w:proofErr w:type="spellEnd"/>
      <w:r w:rsidR="000273E6">
        <w:t xml:space="preserve"> sum</w:t>
      </w:r>
      <w:r w:rsidR="005D785B">
        <w:t xml:space="preserve"> of the </w:t>
      </w:r>
      <w:r w:rsidR="000273E6">
        <w:t xml:space="preserve">overall </w:t>
      </w:r>
      <w:r w:rsidR="005D785B">
        <w:t>legal aid budget.</w:t>
      </w:r>
    </w:p>
    <w:p w14:paraId="0C989712" w14:textId="77777777" w:rsidR="00A63E91" w:rsidRDefault="00A63E91" w:rsidP="00873474">
      <w:pPr>
        <w:spacing w:line="240" w:lineRule="auto"/>
      </w:pPr>
    </w:p>
    <w:p w14:paraId="54E857DE" w14:textId="77777777" w:rsidR="00A63E91" w:rsidRDefault="00A63E91" w:rsidP="00873474">
      <w:pPr>
        <w:spacing w:line="240" w:lineRule="auto"/>
        <w:rPr>
          <w:rFonts w:ascii="Verdana" w:hAnsi="Verdana"/>
          <w:b/>
          <w:bCs/>
          <w:color w:val="0086C1" w:themeColor="accent3"/>
          <w:sz w:val="26"/>
          <w:szCs w:val="22"/>
        </w:rPr>
      </w:pPr>
      <w:r w:rsidRPr="00487E0F">
        <w:rPr>
          <w:rFonts w:ascii="Verdana" w:hAnsi="Verdana"/>
          <w:b/>
          <w:bCs/>
          <w:color w:val="0086C1" w:themeColor="accent3"/>
          <w:sz w:val="26"/>
          <w:szCs w:val="22"/>
        </w:rPr>
        <w:t xml:space="preserve">The balance of rights and responsibilities   </w:t>
      </w:r>
    </w:p>
    <w:p w14:paraId="707FC0AE" w14:textId="77777777" w:rsidR="00A63E91" w:rsidRPr="00487E0F" w:rsidRDefault="00A63E91" w:rsidP="00873474">
      <w:pPr>
        <w:spacing w:line="240" w:lineRule="auto"/>
        <w:rPr>
          <w:rFonts w:ascii="Verdana" w:hAnsi="Verdana"/>
          <w:b/>
          <w:bCs/>
          <w:color w:val="0086C1" w:themeColor="accent3"/>
          <w:sz w:val="26"/>
          <w:szCs w:val="22"/>
        </w:rPr>
      </w:pPr>
    </w:p>
    <w:p w14:paraId="6DDE6AAB" w14:textId="08AF1584" w:rsidR="00A002A4" w:rsidRPr="00A002A4" w:rsidRDefault="00A002A4" w:rsidP="00F34325">
      <w:pPr>
        <w:pBdr>
          <w:top w:val="single" w:sz="4" w:space="1" w:color="auto"/>
          <w:left w:val="single" w:sz="4" w:space="4" w:color="auto"/>
          <w:bottom w:val="single" w:sz="4" w:space="0" w:color="auto"/>
          <w:right w:val="single" w:sz="4" w:space="4" w:color="auto"/>
        </w:pBdr>
        <w:spacing w:line="240" w:lineRule="auto"/>
        <w:rPr>
          <w:b/>
          <w:szCs w:val="22"/>
        </w:rPr>
      </w:pPr>
      <w:r w:rsidRPr="00A002A4">
        <w:rPr>
          <w:b/>
          <w:szCs w:val="22"/>
        </w:rPr>
        <w:t>Consultation question</w:t>
      </w:r>
    </w:p>
    <w:p w14:paraId="700FB5AA" w14:textId="77777777" w:rsidR="00A63E91" w:rsidRPr="00F34325" w:rsidRDefault="00A63E91" w:rsidP="00F34325">
      <w:pPr>
        <w:pBdr>
          <w:top w:val="single" w:sz="4" w:space="1" w:color="auto"/>
          <w:left w:val="single" w:sz="4" w:space="4" w:color="auto"/>
          <w:bottom w:val="single" w:sz="4" w:space="0" w:color="auto"/>
          <w:right w:val="single" w:sz="4" w:space="4" w:color="auto"/>
        </w:pBdr>
        <w:spacing w:line="240" w:lineRule="auto"/>
        <w:rPr>
          <w:b/>
          <w:i/>
          <w:sz w:val="20"/>
          <w:szCs w:val="20"/>
        </w:rPr>
      </w:pPr>
      <w:r w:rsidRPr="00F34325">
        <w:rPr>
          <w:b/>
          <w:i/>
          <w:sz w:val="20"/>
          <w:szCs w:val="20"/>
        </w:rPr>
        <w:t>Do current definitions of employment status need to be updated to reflect new forms of working created by emerging business models, such as on-demand platforms?</w:t>
      </w:r>
    </w:p>
    <w:p w14:paraId="25B92EAC" w14:textId="77777777" w:rsidR="00A63E91" w:rsidRDefault="00A63E91" w:rsidP="00873474">
      <w:pPr>
        <w:spacing w:line="240" w:lineRule="auto"/>
      </w:pPr>
    </w:p>
    <w:p w14:paraId="4C405653" w14:textId="1A47B373" w:rsidR="00A63E91" w:rsidRDefault="00A63E91" w:rsidP="00D462D0">
      <w:pPr>
        <w:spacing w:line="240" w:lineRule="auto"/>
      </w:pPr>
      <w:r>
        <w:t>The review is interested in whether</w:t>
      </w:r>
      <w:r w:rsidRPr="00C7511E">
        <w:t xml:space="preserve"> the current categories of employee, worker and self-employed, operate effective</w:t>
      </w:r>
      <w:r>
        <w:t xml:space="preserve">ly </w:t>
      </w:r>
      <w:r w:rsidR="00A002A4">
        <w:t>for those in the gig economy, and the appropriate balance between rights and responsibilities.</w:t>
      </w:r>
      <w:r>
        <w:t xml:space="preserve"> The problem of employment status is also exacerbated by the complexity of supply chains and </w:t>
      </w:r>
      <w:r w:rsidR="00A002A4">
        <w:t xml:space="preserve">multiple </w:t>
      </w:r>
      <w:r w:rsidRPr="00740AC1">
        <w:t>tiers of sub-contracting</w:t>
      </w:r>
      <w:r>
        <w:t xml:space="preserve"> which has become a particular feature of some sectors such as construction. As the </w:t>
      </w:r>
      <w:r w:rsidR="009E7E5F">
        <w:t>BEIS Independent Review of self-</w:t>
      </w:r>
      <w:r>
        <w:t>employment concluded</w:t>
      </w:r>
      <w:r w:rsidR="008318DC">
        <w:t>:</w:t>
      </w:r>
      <w:r>
        <w:t xml:space="preserve"> </w:t>
      </w:r>
      <w:r w:rsidR="001249EA">
        <w:t>“</w:t>
      </w:r>
      <w:r>
        <w:t>the self-employed</w:t>
      </w:r>
      <w:r w:rsidR="001249EA">
        <w:t>” are an</w:t>
      </w:r>
      <w:r>
        <w:t xml:space="preserve"> incredibly diverse group, covering a wide range of occupations sectors, industries and trade occupations from construction, taxi and cab drivers, own businesses, freelancers and contractors</w:t>
      </w:r>
      <w:r w:rsidR="00C16346">
        <w:t xml:space="preserve"> and that "t</w:t>
      </w:r>
      <w:r>
        <w:t>here is no clear understanding of the employment status within many of these groups."</w:t>
      </w:r>
      <w:r>
        <w:rPr>
          <w:rStyle w:val="EndnoteReference"/>
        </w:rPr>
        <w:endnoteReference w:id="25"/>
      </w:r>
      <w:r>
        <w:t xml:space="preserve">  However, Julie Deane who undertook the review</w:t>
      </w:r>
      <w:r w:rsidR="008318DC">
        <w:t>,</w:t>
      </w:r>
      <w:r>
        <w:t xml:space="preserve"> did consider that "simplification and clarification of a single definition for tax and employment law is highly desirable," and also suggested in her report ways in which some rights could be aligned such as bringing Maternity Allowance </w:t>
      </w:r>
      <w:r w:rsidR="001249EA">
        <w:t xml:space="preserve">(for the self-employed) </w:t>
      </w:r>
      <w:r>
        <w:t>in</w:t>
      </w:r>
      <w:r w:rsidR="001249EA">
        <w:t>to</w:t>
      </w:r>
      <w:r>
        <w:t xml:space="preserve"> line with Statutory Maternity Pay.</w:t>
      </w:r>
      <w:r>
        <w:rPr>
          <w:rStyle w:val="EndnoteReference"/>
        </w:rPr>
        <w:endnoteReference w:id="26"/>
      </w:r>
      <w:r>
        <w:t xml:space="preserve"> </w:t>
      </w:r>
    </w:p>
    <w:p w14:paraId="5B3C7FD3" w14:textId="77777777" w:rsidR="00A63E91" w:rsidRDefault="00A63E91" w:rsidP="00D462D0">
      <w:pPr>
        <w:spacing w:line="240" w:lineRule="auto"/>
      </w:pPr>
    </w:p>
    <w:p w14:paraId="3B009B0B" w14:textId="3F975D11" w:rsidR="00A63E91" w:rsidRDefault="00A63E91" w:rsidP="00F27029">
      <w:pPr>
        <w:spacing w:line="240" w:lineRule="auto"/>
      </w:pPr>
      <w:r>
        <w:t xml:space="preserve">The Office of Tax </w:t>
      </w:r>
      <w:r w:rsidR="008318DC">
        <w:t>S</w:t>
      </w:r>
      <w:r>
        <w:t xml:space="preserve">implification </w:t>
      </w:r>
      <w:r w:rsidR="008318DC">
        <w:t xml:space="preserve">(OTS) </w:t>
      </w:r>
      <w:r>
        <w:t>also concluded that there needed to be "third</w:t>
      </w:r>
      <w:r w:rsidR="00B31369">
        <w:t xml:space="preserve"> way" between employed and self-</w:t>
      </w:r>
      <w:r>
        <w:t>employed status to better reflect the balance of rights and responsibilities for quasi employed freelancers and the people and organisations that they work with.</w:t>
      </w:r>
      <w:r>
        <w:rPr>
          <w:rStyle w:val="EndnoteReference"/>
        </w:rPr>
        <w:endnoteReference w:id="27"/>
      </w:r>
      <w:r>
        <w:t xml:space="preserve"> The OTS has suggested various possible </w:t>
      </w:r>
      <w:r>
        <w:lastRenderedPageBreak/>
        <w:t>models drawing from other countries employment law regimes, and ways to make it easier for freelancers to be single person limited companies possibly</w:t>
      </w:r>
      <w:r w:rsidR="008318DC">
        <w:t xml:space="preserve">, </w:t>
      </w:r>
      <w:r>
        <w:t>with certain rights attached</w:t>
      </w:r>
      <w:r w:rsidR="008318DC">
        <w:t>,</w:t>
      </w:r>
      <w:r>
        <w:t xml:space="preserve"> and a more seamless process for tax administration. We would like to see the recommendations of the OTS and the independent review taken forward.</w:t>
      </w:r>
    </w:p>
    <w:p w14:paraId="3062EC06" w14:textId="77777777" w:rsidR="00C16346" w:rsidRDefault="00C16346" w:rsidP="00F27029">
      <w:pPr>
        <w:spacing w:line="240" w:lineRule="auto"/>
      </w:pPr>
    </w:p>
    <w:p w14:paraId="5E05768C" w14:textId="29EBF314" w:rsidR="00C16346" w:rsidRDefault="00C16346" w:rsidP="00F27029">
      <w:pPr>
        <w:spacing w:line="240" w:lineRule="auto"/>
      </w:pPr>
      <w:r>
        <w:t xml:space="preserve">Taking forward these ideas will involve revisiting some </w:t>
      </w:r>
      <w:r w:rsidR="008318DC">
        <w:t xml:space="preserve">of </w:t>
      </w:r>
      <w:r>
        <w:t>the definitions used in the Employment Ri</w:t>
      </w:r>
      <w:r w:rsidR="00172680">
        <w:t>ghts Act 1996</w:t>
      </w:r>
      <w:r w:rsidR="008318DC">
        <w:t>. H</w:t>
      </w:r>
      <w:r w:rsidR="00172680">
        <w:t>owever</w:t>
      </w:r>
      <w:r w:rsidR="008318DC">
        <w:t>,</w:t>
      </w:r>
      <w:r w:rsidR="00172680">
        <w:t xml:space="preserve"> the challenge is to ensure that any new definition</w:t>
      </w:r>
      <w:r w:rsidR="006708B9">
        <w:t>s</w:t>
      </w:r>
      <w:r w:rsidR="00172680">
        <w:t xml:space="preserve"> of employment status are workable on a contractual basis. Ultimately e</w:t>
      </w:r>
      <w:r w:rsidR="00172680" w:rsidRPr="00172680">
        <w:t>mployment</w:t>
      </w:r>
      <w:r w:rsidR="000273E6">
        <w:t xml:space="preserve"> status is not an attribute of any individual</w:t>
      </w:r>
      <w:r w:rsidR="00172680">
        <w:t>,</w:t>
      </w:r>
      <w:r w:rsidR="00172680" w:rsidRPr="00172680">
        <w:t xml:space="preserve"> </w:t>
      </w:r>
      <w:r w:rsidR="00FA0EBD">
        <w:t xml:space="preserve">but </w:t>
      </w:r>
      <w:r w:rsidR="00172680" w:rsidRPr="00172680">
        <w:t>an attribute of a</w:t>
      </w:r>
      <w:r w:rsidR="000273E6">
        <w:t>n individual’s</w:t>
      </w:r>
      <w:r w:rsidR="00172680" w:rsidRPr="00172680">
        <w:t xml:space="preserve"> contract</w:t>
      </w:r>
      <w:r w:rsidR="00FA0EBD">
        <w:t>ual arrangements</w:t>
      </w:r>
      <w:r w:rsidR="000273E6">
        <w:t xml:space="preserve"> with their work engager</w:t>
      </w:r>
      <w:r w:rsidR="00FA0EBD">
        <w:t>.</w:t>
      </w:r>
      <w:r>
        <w:t xml:space="preserve"> </w:t>
      </w:r>
      <w:r w:rsidR="00FA0EBD" w:rsidRPr="00FA0EBD">
        <w:t>There are more than 12 tests of e</w:t>
      </w:r>
      <w:r w:rsidR="00FA0EBD">
        <w:t xml:space="preserve">mployment status within the law, and </w:t>
      </w:r>
      <w:r w:rsidR="008318DC">
        <w:t>(</w:t>
      </w:r>
      <w:r w:rsidR="00FA0EBD">
        <w:t xml:space="preserve">as many reports we have referenced in this response </w:t>
      </w:r>
      <w:r w:rsidR="008318DC">
        <w:t xml:space="preserve">highlight) </w:t>
      </w:r>
      <w:r w:rsidR="00FA0EBD">
        <w:t>there are no easy solutio</w:t>
      </w:r>
      <w:r w:rsidR="00CD5643">
        <w:t>ns to tidying up employment law, given the way that contractual obligations can be interpreted by the courts</w:t>
      </w:r>
      <w:r w:rsidR="008318DC">
        <w:t xml:space="preserve"> and tribunals</w:t>
      </w:r>
      <w:r w:rsidR="000F0F88">
        <w:t>.</w:t>
      </w:r>
    </w:p>
    <w:p w14:paraId="2148C339" w14:textId="77777777" w:rsidR="00A63E91" w:rsidRDefault="00A63E91" w:rsidP="00D462D0">
      <w:pPr>
        <w:spacing w:line="240" w:lineRule="auto"/>
      </w:pPr>
    </w:p>
    <w:p w14:paraId="110599E2" w14:textId="77777777" w:rsidR="005B297B" w:rsidRDefault="00A63E91" w:rsidP="00873474">
      <w:pPr>
        <w:spacing w:line="240" w:lineRule="auto"/>
        <w:rPr>
          <w:rFonts w:ascii="Verdana" w:hAnsi="Verdana"/>
          <w:b/>
          <w:color w:val="0086C1" w:themeColor="accent3"/>
          <w:sz w:val="26"/>
          <w:szCs w:val="26"/>
        </w:rPr>
      </w:pPr>
      <w:r>
        <w:rPr>
          <w:rFonts w:ascii="Verdana" w:hAnsi="Verdana"/>
          <w:b/>
          <w:color w:val="0086C1" w:themeColor="accent3"/>
          <w:sz w:val="26"/>
          <w:szCs w:val="26"/>
        </w:rPr>
        <w:t>Conclusion</w:t>
      </w:r>
    </w:p>
    <w:p w14:paraId="615DE680" w14:textId="1EED3ABC" w:rsidR="00A63E91" w:rsidRDefault="00A63E91" w:rsidP="00873474">
      <w:pPr>
        <w:spacing w:line="240" w:lineRule="auto"/>
      </w:pPr>
      <w:r>
        <w:t>In conclusion</w:t>
      </w:r>
      <w:r w:rsidR="009C31BE">
        <w:t>,</w:t>
      </w:r>
      <w:r>
        <w:t xml:space="preserve"> the key issues we would like to see the review address with clear recommendations are around</w:t>
      </w:r>
    </w:p>
    <w:p w14:paraId="6A609F07" w14:textId="2BA1902B" w:rsidR="00A63E91" w:rsidRDefault="009C31BE" w:rsidP="00544327">
      <w:pPr>
        <w:pStyle w:val="ListParagraph"/>
        <w:numPr>
          <w:ilvl w:val="0"/>
          <w:numId w:val="34"/>
        </w:numPr>
        <w:spacing w:line="240" w:lineRule="auto"/>
        <w:ind w:left="426" w:hanging="284"/>
      </w:pPr>
      <w:r>
        <w:t>Establishing an</w:t>
      </w:r>
      <w:r w:rsidR="00A63E91">
        <w:t xml:space="preserve"> employment rights framework underpinned by legal certainty and fairness in dealing with different types of worker</w:t>
      </w:r>
      <w:r w:rsidR="008318DC">
        <w:t>;</w:t>
      </w:r>
    </w:p>
    <w:p w14:paraId="17C1CA47" w14:textId="7024940A" w:rsidR="00A63E91" w:rsidRDefault="00A63E91" w:rsidP="00544327">
      <w:pPr>
        <w:pStyle w:val="ListParagraph"/>
        <w:numPr>
          <w:ilvl w:val="0"/>
          <w:numId w:val="34"/>
        </w:numPr>
        <w:spacing w:line="240" w:lineRule="auto"/>
        <w:ind w:left="426" w:hanging="284"/>
      </w:pPr>
      <w:r>
        <w:t xml:space="preserve">Greater transparency on rights and obligations for all parties and dissemination </w:t>
      </w:r>
      <w:r w:rsidR="00CD671C">
        <w:t xml:space="preserve">of </w:t>
      </w:r>
      <w:r>
        <w:t>better legal information</w:t>
      </w:r>
      <w:r w:rsidR="008318DC">
        <w:t>;</w:t>
      </w:r>
    </w:p>
    <w:p w14:paraId="0079CD81" w14:textId="46503C58" w:rsidR="00A63E91" w:rsidRDefault="00A63E91" w:rsidP="00544327">
      <w:pPr>
        <w:pStyle w:val="ListParagraph"/>
        <w:numPr>
          <w:ilvl w:val="0"/>
          <w:numId w:val="34"/>
        </w:numPr>
        <w:spacing w:line="240" w:lineRule="auto"/>
        <w:ind w:left="426" w:hanging="284"/>
      </w:pPr>
      <w:r>
        <w:t>Improved access to justice and redress starting by reviewing tribunal fee levels and supporting capacity for employment rights advice</w:t>
      </w:r>
      <w:r w:rsidR="008318DC">
        <w:t>;</w:t>
      </w:r>
    </w:p>
    <w:p w14:paraId="5BCD7AD2" w14:textId="77777777" w:rsidR="00A63E91" w:rsidRDefault="00A63E91" w:rsidP="00544327">
      <w:pPr>
        <w:pStyle w:val="ListParagraph"/>
        <w:numPr>
          <w:ilvl w:val="0"/>
          <w:numId w:val="34"/>
        </w:numPr>
        <w:spacing w:line="240" w:lineRule="auto"/>
        <w:ind w:left="426" w:hanging="284"/>
      </w:pPr>
      <w:r>
        <w:t xml:space="preserve">More proactive enforcement </w:t>
      </w:r>
      <w:r w:rsidR="00CD671C">
        <w:t xml:space="preserve">of basic rights </w:t>
      </w:r>
      <w:r>
        <w:t>for example in respect of unpaid wages and defaulted contracts.</w:t>
      </w:r>
    </w:p>
    <w:p w14:paraId="74EDA387" w14:textId="77777777" w:rsidR="00A63E91" w:rsidRPr="00DC10B8" w:rsidRDefault="00A63E91" w:rsidP="00873474">
      <w:pPr>
        <w:spacing w:line="240" w:lineRule="auto"/>
        <w:rPr>
          <w:sz w:val="16"/>
          <w:szCs w:val="16"/>
        </w:rPr>
      </w:pPr>
    </w:p>
    <w:p w14:paraId="5BA76428" w14:textId="395BE6BD" w:rsidR="00A63E91" w:rsidRDefault="00A63E91" w:rsidP="00873474">
      <w:pPr>
        <w:spacing w:line="240" w:lineRule="auto"/>
      </w:pPr>
      <w:r>
        <w:t xml:space="preserve">We also acknowledge that </w:t>
      </w:r>
      <w:r w:rsidRPr="00332A3F">
        <w:t>whilst government has an important role in shaping the labour market, and the public sector itself should aim to be an exemplar of good practice, it cannot do everything</w:t>
      </w:r>
      <w:r w:rsidR="00332A3F">
        <w:t xml:space="preserve"> that is required to improve standards</w:t>
      </w:r>
      <w:r>
        <w:t>.</w:t>
      </w:r>
      <w:r w:rsidR="00332A3F">
        <w:t xml:space="preserve"> </w:t>
      </w:r>
      <w:r>
        <w:t xml:space="preserve">We therefore endorse the conclusions and recommendations of </w:t>
      </w:r>
      <w:r>
        <w:lastRenderedPageBreak/>
        <w:t xml:space="preserve">the </w:t>
      </w:r>
      <w:r w:rsidR="00B31369">
        <w:t xml:space="preserve">DWP </w:t>
      </w:r>
      <w:r>
        <w:t xml:space="preserve">Select Committee's </w:t>
      </w:r>
      <w:r w:rsidR="00332A3F">
        <w:t xml:space="preserve">recent </w:t>
      </w:r>
      <w:r>
        <w:t>inquiry which urged Government</w:t>
      </w:r>
      <w:r w:rsidRPr="00CB5C1D">
        <w:t xml:space="preserve"> </w:t>
      </w:r>
      <w:r>
        <w:t>"</w:t>
      </w:r>
      <w:r w:rsidRPr="00CB5C1D">
        <w:t>to adopt an</w:t>
      </w:r>
      <w:r w:rsidR="00B31369">
        <w:t xml:space="preserve"> approach of shared regulation</w:t>
      </w:r>
      <w:r w:rsidRPr="00CB5C1D">
        <w:t xml:space="preserve">, which will require government to work in a more collaborative way and appeal to a range of stakeholders to help establish key tenets and principles of good work in the gig economy. Government may take the lead in distinguishing what good work looks like, but businesses and civil society are crucial in making </w:t>
      </w:r>
      <w:r w:rsidRPr="00332A3F">
        <w:t>good work</w:t>
      </w:r>
      <w:r w:rsidR="00B31369" w:rsidRPr="00332A3F">
        <w:t xml:space="preserve"> a</w:t>
      </w:r>
      <w:r w:rsidR="00B31369">
        <w:t xml:space="preserve"> </w:t>
      </w:r>
      <w:r w:rsidR="000F0F88">
        <w:t xml:space="preserve">reality. </w:t>
      </w:r>
      <w:r w:rsidRPr="000F0F88">
        <w:t>We recommend th</w:t>
      </w:r>
      <w:r w:rsidR="00A002A4" w:rsidRPr="000F0F88">
        <w:t>at government collaborate on a “</w:t>
      </w:r>
      <w:r w:rsidRPr="000F0F88">
        <w:t>Charter for Good Work in the Gig Economy</w:t>
      </w:r>
      <w:r w:rsidR="00332A3F">
        <w:rPr>
          <w:b/>
        </w:rPr>
        <w:t>”</w:t>
      </w:r>
      <w:r>
        <w:t>.</w:t>
      </w:r>
      <w:r>
        <w:rPr>
          <w:rStyle w:val="EndnoteReference"/>
        </w:rPr>
        <w:endnoteReference w:id="28"/>
      </w:r>
    </w:p>
    <w:p w14:paraId="3FBA44F2" w14:textId="77777777" w:rsidR="00A63E91" w:rsidRDefault="00A63E91" w:rsidP="00873474">
      <w:pPr>
        <w:spacing w:line="240" w:lineRule="auto"/>
      </w:pPr>
      <w:bookmarkStart w:id="0" w:name="_GoBack"/>
      <w:bookmarkEnd w:id="0"/>
    </w:p>
    <w:p w14:paraId="67F3DFC3" w14:textId="0F27C76D" w:rsidR="00A63E91" w:rsidRDefault="00A63E91" w:rsidP="00873474">
      <w:pPr>
        <w:spacing w:line="240" w:lineRule="auto"/>
      </w:pPr>
      <w:r>
        <w:t xml:space="preserve">The RSA has also presented ideas around ‘shared regulation’ as </w:t>
      </w:r>
      <w:proofErr w:type="gramStart"/>
      <w:r>
        <w:t>an</w:t>
      </w:r>
      <w:proofErr w:type="gramEnd"/>
      <w:r>
        <w:t xml:space="preserve"> option for shaping a "sharing</w:t>
      </w:r>
      <w:r w:rsidR="00372A4F">
        <w:t xml:space="preserve"> </w:t>
      </w:r>
      <w:r>
        <w:t xml:space="preserve">economy". Shared regulation is similar to self-regulation in the sense that </w:t>
      </w:r>
      <w:r w:rsidR="008318DC">
        <w:t xml:space="preserve">it </w:t>
      </w:r>
      <w:r>
        <w:t>aims to redistribute regulatory responsibilities to parties other than government, but it goes beyond the inclusion of businesses as key actors in the regulatory framework.</w:t>
      </w:r>
    </w:p>
    <w:p w14:paraId="11DC329B" w14:textId="77777777" w:rsidR="00A63E91" w:rsidRPr="00DC10B8" w:rsidRDefault="00A63E91" w:rsidP="00873474">
      <w:pPr>
        <w:spacing w:line="240" w:lineRule="auto"/>
        <w:rPr>
          <w:sz w:val="16"/>
          <w:szCs w:val="16"/>
        </w:rPr>
      </w:pPr>
    </w:p>
    <w:p w14:paraId="478E13F6" w14:textId="02921269" w:rsidR="00873474" w:rsidRDefault="00A63E91" w:rsidP="00873474">
      <w:pPr>
        <w:spacing w:line="240" w:lineRule="auto"/>
      </w:pPr>
      <w:r>
        <w:t>We hop</w:t>
      </w:r>
      <w:r w:rsidR="00332A3F">
        <w:t>e that policies to strengthen</w:t>
      </w:r>
      <w:r>
        <w:t xml:space="preserve"> employment</w:t>
      </w:r>
      <w:r w:rsidR="00332A3F">
        <w:t xml:space="preserve"> rights</w:t>
      </w:r>
      <w:r>
        <w:t xml:space="preserve"> can be taken forward in the next Parliament. This agenda may also of course be affected by Brexit. </w:t>
      </w:r>
      <w:r w:rsidR="005B297B">
        <w:t>A</w:t>
      </w:r>
      <w:r w:rsidRPr="000F0F88">
        <w:t xml:space="preserve"> recent P</w:t>
      </w:r>
      <w:r w:rsidR="000F0F88" w:rsidRPr="000F0F88">
        <w:t>rice Waterhouse Cooper (PCW)</w:t>
      </w:r>
      <w:r w:rsidRPr="000F0F88">
        <w:t xml:space="preserve"> study for the European Commission has shown that the UK has emerged as a hub for the </w:t>
      </w:r>
      <w:r w:rsidR="005B297B">
        <w:t>“</w:t>
      </w:r>
      <w:r w:rsidRPr="000F0F88">
        <w:t>sharing economy</w:t>
      </w:r>
      <w:r w:rsidR="005B297B">
        <w:t>”</w:t>
      </w:r>
      <w:r w:rsidRPr="000F0F88">
        <w:t xml:space="preserve"> within Europe and contributed to around a third of this activity in 2015</w:t>
      </w:r>
      <w:r w:rsidR="000F0F88">
        <w:t>.</w:t>
      </w:r>
      <w:r w:rsidRPr="000F0F88">
        <w:t xml:space="preserve"> </w:t>
      </w:r>
      <w:r w:rsidR="005B297B">
        <w:t>S</w:t>
      </w:r>
      <w:r w:rsidRPr="000F0F88">
        <w:t>haring economy activity across Europe ha</w:t>
      </w:r>
      <w:r w:rsidR="000F0F88">
        <w:t>s</w:t>
      </w:r>
      <w:r w:rsidRPr="000F0F88">
        <w:t xml:space="preserve"> accelerated over the past </w:t>
      </w:r>
      <w:r w:rsidR="005B297B">
        <w:t>few</w:t>
      </w:r>
      <w:r w:rsidRPr="000F0F88">
        <w:t xml:space="preserve"> years, with its five key sectors generating revenues of €3.6bn and facilitating €28bn of transactions in 2015.</w:t>
      </w:r>
      <w:r w:rsidRPr="000F0F88">
        <w:rPr>
          <w:rStyle w:val="EndnoteReference"/>
        </w:rPr>
        <w:endnoteReference w:id="29"/>
      </w:r>
      <w:r w:rsidRPr="000F0F88">
        <w:t xml:space="preserve"> </w:t>
      </w:r>
      <w:r w:rsidR="005B297B">
        <w:t>Whilst</w:t>
      </w:r>
      <w:r w:rsidR="005262F5" w:rsidRPr="000F0F88">
        <w:t xml:space="preserve"> UK’s</w:t>
      </w:r>
      <w:r w:rsidR="000F0F88">
        <w:t xml:space="preserve"> contribution to the</w:t>
      </w:r>
      <w:r w:rsidR="005262F5" w:rsidRPr="000F0F88">
        <w:t xml:space="preserve"> sharing economy has </w:t>
      </w:r>
      <w:r w:rsidR="005B297B">
        <w:t xml:space="preserve">been </w:t>
      </w:r>
      <w:r w:rsidR="005262F5" w:rsidRPr="000F0F88">
        <w:t>grown the fastest in Europe</w:t>
      </w:r>
      <w:r w:rsidR="005B297B">
        <w:t xml:space="preserve"> alongside Southern European Countries like Spain and Italy</w:t>
      </w:r>
      <w:r w:rsidR="005262F5" w:rsidRPr="000F0F88">
        <w:t>,</w:t>
      </w:r>
      <w:r w:rsidR="005B297B">
        <w:t xml:space="preserve"> a paper prepared by BIS in 2015 suggested this has much to do with the free movement of services as embedded in EU policies like the digital single market strategy.</w:t>
      </w:r>
      <w:r w:rsidR="005B297B">
        <w:rPr>
          <w:rStyle w:val="EndnoteReference"/>
        </w:rPr>
        <w:endnoteReference w:id="30"/>
      </w:r>
      <w:r w:rsidR="005B297B">
        <w:t xml:space="preserve"> </w:t>
      </w:r>
      <w:r w:rsidR="00EB1C54">
        <w:t xml:space="preserve">There are also concerns that </w:t>
      </w:r>
      <w:r w:rsidR="00F31D9A">
        <w:t>Brexit could potentially lead to a significant structural shift in the labour market. Whilst it is beyond our expertise to comment on these matter</w:t>
      </w:r>
      <w:r w:rsidR="00FA0EBD">
        <w:t>s</w:t>
      </w:r>
      <w:r w:rsidR="00F31D9A">
        <w:t xml:space="preserve">, </w:t>
      </w:r>
      <w:r w:rsidR="008318DC">
        <w:t xml:space="preserve">we </w:t>
      </w:r>
      <w:r w:rsidR="00F31D9A">
        <w:t>would simply re-enforce our points about transparency and certainty in employment rights and the importance of access to redress to make those rights effective.</w:t>
      </w:r>
    </w:p>
    <w:p w14:paraId="30A0B24A" w14:textId="77777777" w:rsidR="0072341F" w:rsidRPr="00F31D9A" w:rsidRDefault="00DC10B8" w:rsidP="008B7AB9">
      <w:pPr>
        <w:rPr>
          <w:sz w:val="16"/>
          <w:szCs w:val="16"/>
        </w:rPr>
      </w:pPr>
      <w:r>
        <w:rPr>
          <w:noProof/>
          <w:lang w:eastAsia="en-GB"/>
        </w:rPr>
        <w:lastRenderedPageBreak/>
        <mc:AlternateContent>
          <mc:Choice Requires="wps">
            <w:drawing>
              <wp:anchor distT="0" distB="0" distL="114300" distR="114300" simplePos="0" relativeHeight="251660288" behindDoc="1" locked="0" layoutInCell="1" allowOverlap="1" wp14:anchorId="2EDE2292" wp14:editId="4E7FC34F">
                <wp:simplePos x="0" y="0"/>
                <wp:positionH relativeFrom="column">
                  <wp:posOffset>-55245</wp:posOffset>
                </wp:positionH>
                <wp:positionV relativeFrom="paragraph">
                  <wp:posOffset>57784</wp:posOffset>
                </wp:positionV>
                <wp:extent cx="3343275" cy="1895475"/>
                <wp:effectExtent l="0" t="0" r="952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3275" cy="1895475"/>
                        </a:xfrm>
                        <a:prstGeom prst="rect">
                          <a:avLst/>
                        </a:prstGeom>
                        <a:solidFill>
                          <a:schemeClr val="accent5">
                            <a:lumMod val="40000"/>
                            <a:lumOff val="60000"/>
                          </a:schemeClr>
                        </a:solidFill>
                        <a:ln>
                          <a:noFill/>
                        </a:ln>
                        <a:effectLst/>
                        <a:extLst>
                          <a:ext uri="{FAA26D3D-D897-4be2-8F04-BA451C77F1D7}"/>
                          <a:ext uri="{C572A759-6A51-4108-AA02-DFA0A04FC94B}"/>
                        </a:extLst>
                      </wps:spPr>
                      <wps:style>
                        <a:lnRef idx="1">
                          <a:schemeClr val="accent1"/>
                        </a:lnRef>
                        <a:fillRef idx="3">
                          <a:schemeClr val="accent1"/>
                        </a:fillRef>
                        <a:effectRef idx="2">
                          <a:schemeClr val="accent1"/>
                        </a:effectRef>
                        <a:fontRef idx="minor">
                          <a:schemeClr val="lt1"/>
                        </a:fontRef>
                      </wps:style>
                      <wps:txbx>
                        <w:txbxContent>
                          <w:p w14:paraId="01AB27B1" w14:textId="77777777" w:rsidR="005C5380" w:rsidRDefault="005C5380" w:rsidP="0072341F">
                            <w:pPr>
                              <w:jc w:val="center"/>
                            </w:pPr>
                          </w:p>
                          <w:p w14:paraId="1E1E6B73" w14:textId="77777777" w:rsidR="005C5380" w:rsidRDefault="005C5380" w:rsidP="007234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8" style="position:absolute;margin-left:-4.35pt;margin-top:4.55pt;width:263.25pt;height:14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" fillcolor="#e5a7ca [1304]" stroked="f">
                <v:path arrowok="t"/>
                <v:textbox>
                  <w:txbxContent>
                    <w:p w14:paraId="01AB27B1" w14:textId="77777777" w:rsidR="005C5380" w:rsidRDefault="005C5380" w:rsidP="0072341F">
                      <w:pPr>
                        <w:jc w:val="center"/>
                      </w:pPr>
                    </w:p>
                    <w:p w14:paraId="1E1E6B73" w14:textId="77777777" w:rsidR="005C5380" w:rsidRDefault="005C5380" w:rsidP="0072341F">
                      <w:pPr>
                        <w:jc w:val="center"/>
                      </w:pPr>
                    </w:p>
                  </w:txbxContent>
                </v:textbox>
              </v:rect>
            </w:pict>
          </mc:Fallback>
        </mc:AlternateContent>
      </w:r>
    </w:p>
    <w:p w14:paraId="1FE48645" w14:textId="3E36601E" w:rsidR="00F27029" w:rsidRPr="00316922" w:rsidRDefault="00F27029" w:rsidP="00F31D9A">
      <w:pPr>
        <w:pStyle w:val="LawWsPulloutbodycopyWhite"/>
        <w:spacing w:line="240" w:lineRule="auto"/>
        <w:rPr>
          <w:b/>
          <w:color w:val="auto"/>
        </w:rPr>
      </w:pPr>
      <w:r w:rsidRPr="00316922">
        <w:rPr>
          <w:b/>
          <w:color w:val="auto"/>
        </w:rPr>
        <w:t>For more information from LawWorks on employment law and policy please contact:-</w:t>
      </w:r>
    </w:p>
    <w:p w14:paraId="49E26528" w14:textId="77777777" w:rsidR="00C45AB7" w:rsidRPr="00316922" w:rsidRDefault="00C45AB7" w:rsidP="00F31D9A">
      <w:pPr>
        <w:pStyle w:val="LawWsPulloutbodycopyWhite"/>
        <w:spacing w:line="240" w:lineRule="auto"/>
        <w:rPr>
          <w:b/>
          <w:color w:val="auto"/>
        </w:rPr>
      </w:pPr>
    </w:p>
    <w:p w14:paraId="1CFFC030" w14:textId="456D571D" w:rsidR="005C3DEF" w:rsidRPr="00316922" w:rsidRDefault="00D462D0" w:rsidP="00F31D9A">
      <w:pPr>
        <w:pStyle w:val="LawWsPulloutbodycopyWhite"/>
        <w:spacing w:line="240" w:lineRule="auto"/>
        <w:rPr>
          <w:b/>
          <w:color w:val="auto"/>
        </w:rPr>
      </w:pPr>
      <w:r w:rsidRPr="00316922">
        <w:rPr>
          <w:b/>
          <w:color w:val="auto"/>
        </w:rPr>
        <w:t>Jame</w:t>
      </w:r>
      <w:r w:rsidR="00960D63" w:rsidRPr="00316922">
        <w:rPr>
          <w:b/>
          <w:color w:val="auto"/>
        </w:rPr>
        <w:t>s</w:t>
      </w:r>
      <w:r w:rsidRPr="00316922">
        <w:rPr>
          <w:b/>
          <w:color w:val="auto"/>
        </w:rPr>
        <w:t xml:space="preserve"> Sandbach</w:t>
      </w:r>
      <w:r w:rsidR="00F31D9A" w:rsidRPr="00316922">
        <w:rPr>
          <w:b/>
          <w:color w:val="auto"/>
        </w:rPr>
        <w:t xml:space="preserve">, </w:t>
      </w:r>
      <w:r w:rsidR="005C3DEF" w:rsidRPr="00316922">
        <w:rPr>
          <w:b/>
          <w:color w:val="auto"/>
        </w:rPr>
        <w:t>Director of Policy and Ex</w:t>
      </w:r>
      <w:r w:rsidR="002D3EB1">
        <w:rPr>
          <w:b/>
          <w:color w:val="auto"/>
        </w:rPr>
        <w:t>t</w:t>
      </w:r>
      <w:r w:rsidR="005C3DEF" w:rsidRPr="00316922">
        <w:rPr>
          <w:b/>
          <w:color w:val="auto"/>
        </w:rPr>
        <w:t>ernal Affairs</w:t>
      </w:r>
    </w:p>
    <w:p w14:paraId="1A7CB0FB" w14:textId="77777777" w:rsidR="00CF67BE" w:rsidRPr="00316922" w:rsidRDefault="00F27029" w:rsidP="0083709F">
      <w:pPr>
        <w:pStyle w:val="LawWsPulloutbodycopyWhite"/>
        <w:rPr>
          <w:b/>
          <w:color w:val="auto"/>
        </w:rPr>
      </w:pPr>
      <w:r w:rsidRPr="00316922">
        <w:rPr>
          <w:b/>
          <w:color w:val="auto"/>
        </w:rPr>
        <w:t>james.sandbach@lawworks.org.uk</w:t>
      </w:r>
    </w:p>
    <w:p w14:paraId="0D4F81E2" w14:textId="77777777" w:rsidR="00C45AB7" w:rsidRPr="00316922" w:rsidRDefault="00C45AB7" w:rsidP="0083709F">
      <w:pPr>
        <w:pStyle w:val="LawWsPulloutbodycopyWhite"/>
        <w:rPr>
          <w:b/>
          <w:color w:val="auto"/>
        </w:rPr>
      </w:pPr>
    </w:p>
    <w:p w14:paraId="3C9E41DC" w14:textId="77777777" w:rsidR="00CF67BE" w:rsidRPr="00316922" w:rsidRDefault="00CF67BE" w:rsidP="0083709F">
      <w:pPr>
        <w:pStyle w:val="LawWsPulloutbodycopyWhite"/>
        <w:rPr>
          <w:b/>
          <w:color w:val="auto"/>
        </w:rPr>
      </w:pPr>
      <w:r w:rsidRPr="00316922">
        <w:rPr>
          <w:b/>
          <w:color w:val="auto"/>
        </w:rPr>
        <w:t>Richard Pitk</w:t>
      </w:r>
      <w:r w:rsidR="00D462D0" w:rsidRPr="00316922">
        <w:rPr>
          <w:b/>
          <w:color w:val="auto"/>
        </w:rPr>
        <w:t>ethly</w:t>
      </w:r>
      <w:r w:rsidR="00F31D9A" w:rsidRPr="00316922">
        <w:rPr>
          <w:b/>
          <w:color w:val="auto"/>
        </w:rPr>
        <w:t xml:space="preserve">. </w:t>
      </w:r>
      <w:r w:rsidRPr="00316922">
        <w:rPr>
          <w:b/>
          <w:color w:val="auto"/>
        </w:rPr>
        <w:t>Head of Learning and Practice</w:t>
      </w:r>
    </w:p>
    <w:p w14:paraId="1E516300" w14:textId="7A23C8FC" w:rsidR="00AD1E2A" w:rsidRPr="00316922" w:rsidRDefault="00B65C62" w:rsidP="0083709F">
      <w:pPr>
        <w:pStyle w:val="LawWsPulloutbodycopyWhite"/>
        <w:rPr>
          <w:b/>
          <w:color w:val="auto"/>
        </w:rPr>
      </w:pPr>
      <w:hyperlink r:id="rId9" w:history="1">
        <w:r w:rsidR="00AD1E2A" w:rsidRPr="00316922">
          <w:rPr>
            <w:rStyle w:val="Hyperlink"/>
            <w:b/>
            <w:color w:val="auto"/>
            <w:u w:val="none"/>
          </w:rPr>
          <w:t>richard.pitkethly</w:t>
        </w:r>
        <w:r w:rsidR="00C45AB7" w:rsidRPr="00316922">
          <w:rPr>
            <w:b/>
            <w:color w:val="auto"/>
          </w:rPr>
          <w:t>@lawworks.org.uk</w:t>
        </w:r>
        <w:r w:rsidR="00C45AB7" w:rsidRPr="00316922">
          <w:rPr>
            <w:rStyle w:val="Hyperlink"/>
            <w:b/>
            <w:color w:val="auto"/>
            <w:u w:val="none"/>
          </w:rPr>
          <w:t xml:space="preserve"> </w:t>
        </w:r>
      </w:hyperlink>
    </w:p>
    <w:p w14:paraId="334FB4D1" w14:textId="77777777" w:rsidR="00AD1E2A" w:rsidRDefault="00AD1E2A" w:rsidP="0083709F">
      <w:pPr>
        <w:pStyle w:val="LawWsPulloutbodycopyWhite"/>
        <w:rPr>
          <w:b/>
          <w:color w:val="auto"/>
          <w:sz w:val="24"/>
          <w:szCs w:val="24"/>
        </w:rPr>
      </w:pPr>
    </w:p>
    <w:p w14:paraId="47122E66" w14:textId="77777777" w:rsidR="00C45AB7" w:rsidRDefault="00C45AB7" w:rsidP="0083709F">
      <w:pPr>
        <w:pStyle w:val="LawWsPulloutbodycopyWhite"/>
        <w:rPr>
          <w:b/>
          <w:color w:val="auto"/>
          <w:sz w:val="24"/>
          <w:szCs w:val="24"/>
        </w:rPr>
      </w:pPr>
    </w:p>
    <w:p w14:paraId="1F8ACE2E" w14:textId="2B148D5C" w:rsidR="00C45AB7" w:rsidRPr="009E7E5F" w:rsidRDefault="00C45AB7" w:rsidP="0083709F">
      <w:pPr>
        <w:pStyle w:val="LawWsPulloutbodycopyWhite"/>
        <w:rPr>
          <w:b/>
          <w:color w:val="auto"/>
          <w:sz w:val="24"/>
          <w:szCs w:val="24"/>
        </w:rPr>
      </w:pPr>
      <w:r>
        <w:rPr>
          <w:b/>
          <w:color w:val="auto"/>
          <w:sz w:val="24"/>
          <w:szCs w:val="24"/>
        </w:rPr>
        <w:t>Endnotes</w:t>
      </w:r>
    </w:p>
    <w:sectPr w:rsidR="00C45AB7" w:rsidRPr="009E7E5F" w:rsidSect="005C2238">
      <w:headerReference w:type="default" r:id="rId10"/>
      <w:footerReference w:type="default" r:id="rId11"/>
      <w:pgSz w:w="11900" w:h="16820"/>
      <w:pgMar w:top="3402" w:right="560" w:bottom="1701" w:left="567" w:header="0" w:footer="68" w:gutter="0"/>
      <w:cols w:num="2"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AD079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122CA" w14:textId="77777777" w:rsidR="00B65C62" w:rsidRDefault="00B65C62" w:rsidP="00F9352D">
      <w:r>
        <w:separator/>
      </w:r>
    </w:p>
  </w:endnote>
  <w:endnote w:type="continuationSeparator" w:id="0">
    <w:p w14:paraId="703342D6" w14:textId="77777777" w:rsidR="00B65C62" w:rsidRDefault="00B65C62" w:rsidP="00F9352D">
      <w:r>
        <w:continuationSeparator/>
      </w:r>
    </w:p>
  </w:endnote>
  <w:endnote w:id="1">
    <w:p w14:paraId="352BD014" w14:textId="4B5979C0" w:rsidR="005C5380" w:rsidRPr="00EB1C54" w:rsidRDefault="005C5380">
      <w:pPr>
        <w:pStyle w:val="EndnoteText"/>
        <w:rPr>
          <w:sz w:val="18"/>
          <w:szCs w:val="18"/>
        </w:rPr>
      </w:pPr>
      <w:r w:rsidRPr="00EB1C54">
        <w:rPr>
          <w:rStyle w:val="EndnoteReference"/>
          <w:sz w:val="18"/>
          <w:szCs w:val="18"/>
        </w:rPr>
        <w:endnoteRef/>
      </w:r>
      <w:r w:rsidRPr="00EB1C54">
        <w:rPr>
          <w:sz w:val="18"/>
          <w:szCs w:val="18"/>
        </w:rPr>
        <w:t xml:space="preserve"> </w:t>
      </w:r>
      <w:hyperlink r:id="rId1" w:history="1">
        <w:r w:rsidRPr="00EB1C54">
          <w:rPr>
            <w:rStyle w:val="Hyperlink"/>
            <w:sz w:val="18"/>
            <w:szCs w:val="18"/>
          </w:rPr>
          <w:t>https://www.citizensadvice.org.uk/about-us/how-citizens-advice-works/media/press-releases/45-million-people-in-insecure-work-reveals-citizens-advice/</w:t>
        </w:r>
      </w:hyperlink>
      <w:r w:rsidRPr="00EB1C54">
        <w:rPr>
          <w:sz w:val="18"/>
          <w:szCs w:val="18"/>
        </w:rPr>
        <w:t xml:space="preserve"> </w:t>
      </w:r>
    </w:p>
  </w:endnote>
  <w:endnote w:id="2">
    <w:p w14:paraId="6C396C81" w14:textId="77777777" w:rsidR="005C5380" w:rsidRPr="00EB1C54" w:rsidRDefault="005C5380">
      <w:pPr>
        <w:pStyle w:val="EndnoteText"/>
        <w:rPr>
          <w:sz w:val="18"/>
          <w:szCs w:val="18"/>
        </w:rPr>
      </w:pPr>
      <w:r w:rsidRPr="00EB1C54">
        <w:rPr>
          <w:rStyle w:val="EndnoteReference"/>
          <w:sz w:val="18"/>
          <w:szCs w:val="18"/>
        </w:rPr>
        <w:endnoteRef/>
      </w:r>
      <w:r w:rsidRPr="00EB1C54">
        <w:rPr>
          <w:sz w:val="18"/>
          <w:szCs w:val="18"/>
        </w:rPr>
        <w:t xml:space="preserve"> ONS, Trends in self-employment in the UK, 2001–2015, July 2016 </w:t>
      </w:r>
    </w:p>
  </w:endnote>
  <w:endnote w:id="3">
    <w:p w14:paraId="39AF0CAF" w14:textId="77777777" w:rsidR="000659AF" w:rsidRPr="00EB1C54" w:rsidRDefault="005C5380">
      <w:pPr>
        <w:pStyle w:val="EndnoteText"/>
        <w:rPr>
          <w:sz w:val="18"/>
          <w:szCs w:val="18"/>
        </w:rPr>
      </w:pPr>
      <w:r w:rsidRPr="00EB1C54">
        <w:rPr>
          <w:rStyle w:val="EndnoteReference"/>
          <w:sz w:val="18"/>
          <w:szCs w:val="18"/>
        </w:rPr>
        <w:endnoteRef/>
      </w:r>
      <w:r w:rsidRPr="00EB1C54">
        <w:rPr>
          <w:sz w:val="18"/>
          <w:szCs w:val="18"/>
        </w:rPr>
        <w:t xml:space="preserve"> The term “gig economy” is used to refer to a wide range of different types and models of work, sometimes involving intermediary digital platforms or apps to connect self-employed workers with work. See DWP Select Committee Report </w:t>
      </w:r>
      <w:hyperlink r:id="rId2" w:history="1">
        <w:r w:rsidR="000659AF" w:rsidRPr="00EB1C54">
          <w:rPr>
            <w:rStyle w:val="Hyperlink"/>
            <w:sz w:val="18"/>
            <w:szCs w:val="18"/>
          </w:rPr>
          <w:t>https://www.publications.parliament.uk/pa/cm201617/cmselect/cmworpen/847/84702.htm</w:t>
        </w:r>
      </w:hyperlink>
      <w:r w:rsidR="000659AF" w:rsidRPr="00EB1C54">
        <w:rPr>
          <w:sz w:val="18"/>
          <w:szCs w:val="18"/>
        </w:rPr>
        <w:t xml:space="preserve">  </w:t>
      </w:r>
      <w:r w:rsidRPr="00EB1C54">
        <w:rPr>
          <w:sz w:val="18"/>
          <w:szCs w:val="18"/>
        </w:rPr>
        <w:fldChar w:fldCharType="begin"/>
      </w:r>
      <w:r w:rsidRPr="00EB1C54">
        <w:rPr>
          <w:sz w:val="18"/>
          <w:szCs w:val="18"/>
        </w:rPr>
        <w:instrText xml:space="preserve"> "https://www.publications.parliament.uk/pa/cm201617/cmselect/cmworpen/847/847.pdf" </w:instrText>
      </w:r>
      <w:r w:rsidRPr="00EB1C54">
        <w:rPr>
          <w:sz w:val="18"/>
          <w:szCs w:val="18"/>
        </w:rPr>
        <w:fldChar w:fldCharType="separate"/>
      </w:r>
      <w:r w:rsidRPr="00EB1C54">
        <w:rPr>
          <w:rStyle w:val="Hyperlink"/>
          <w:sz w:val="18"/>
          <w:szCs w:val="18"/>
        </w:rPr>
        <w:t>https://www.publications.parliament.uk/pa/cm201617/cmselect/cmworpen/847/847.pdf</w:t>
      </w:r>
      <w:r w:rsidRPr="00EB1C54">
        <w:rPr>
          <w:sz w:val="18"/>
          <w:szCs w:val="18"/>
        </w:rPr>
        <w:fldChar w:fldCharType="end"/>
      </w:r>
      <w:r w:rsidRPr="00EB1C54">
        <w:rPr>
          <w:sz w:val="18"/>
          <w:szCs w:val="18"/>
        </w:rPr>
        <w:t xml:space="preserve"> </w:t>
      </w:r>
    </w:p>
    <w:p w14:paraId="72048A9E" w14:textId="0B8676E9" w:rsidR="005C5380" w:rsidRPr="00EB1C54" w:rsidRDefault="005C5380">
      <w:pPr>
        <w:pStyle w:val="EndnoteText"/>
        <w:rPr>
          <w:i/>
          <w:sz w:val="18"/>
          <w:szCs w:val="18"/>
        </w:rPr>
      </w:pPr>
      <w:r w:rsidRPr="00EB1C54">
        <w:rPr>
          <w:sz w:val="18"/>
          <w:szCs w:val="18"/>
        </w:rPr>
        <w:t xml:space="preserve">The dictionary definition </w:t>
      </w:r>
      <w:proofErr w:type="gramStart"/>
      <w:r w:rsidRPr="00EB1C54">
        <w:rPr>
          <w:sz w:val="18"/>
          <w:szCs w:val="18"/>
        </w:rPr>
        <w:t>is  “</w:t>
      </w:r>
      <w:proofErr w:type="gramEnd"/>
      <w:r w:rsidRPr="00EB1C54">
        <w:rPr>
          <w:i/>
          <w:sz w:val="18"/>
          <w:szCs w:val="18"/>
        </w:rPr>
        <w:t>A way of working that is based on people having temporary jobs or doing separate pieces of work, each paid separately, rather than working for an employer.”</w:t>
      </w:r>
    </w:p>
  </w:endnote>
  <w:endnote w:id="4">
    <w:p w14:paraId="3346D60C" w14:textId="77777777" w:rsidR="005C5380" w:rsidRPr="00EB1C54" w:rsidRDefault="005C5380">
      <w:pPr>
        <w:pStyle w:val="EndnoteText"/>
        <w:rPr>
          <w:sz w:val="18"/>
          <w:szCs w:val="18"/>
        </w:rPr>
      </w:pPr>
      <w:r w:rsidRPr="00EB1C54">
        <w:rPr>
          <w:rStyle w:val="EndnoteReference"/>
          <w:sz w:val="18"/>
          <w:szCs w:val="18"/>
        </w:rPr>
        <w:endnoteRef/>
      </w:r>
      <w:r w:rsidRPr="00EB1C54">
        <w:rPr>
          <w:sz w:val="18"/>
          <w:szCs w:val="18"/>
        </w:rPr>
        <w:t xml:space="preserve"> </w:t>
      </w:r>
      <w:hyperlink r:id="rId3" w:history="1">
        <w:r w:rsidRPr="00EB1C54">
          <w:rPr>
            <w:rStyle w:val="Hyperlink"/>
            <w:sz w:val="18"/>
            <w:szCs w:val="18"/>
          </w:rPr>
          <w:t>https://www.thersa.org/discover/publications-and-articles/rsa-blogs/2017/04/making-the-gig-economy-work-for-everyone</w:t>
        </w:r>
      </w:hyperlink>
      <w:r w:rsidRPr="00EB1C54">
        <w:rPr>
          <w:sz w:val="18"/>
          <w:szCs w:val="18"/>
        </w:rPr>
        <w:t xml:space="preserve"> </w:t>
      </w:r>
    </w:p>
  </w:endnote>
  <w:endnote w:id="5">
    <w:p w14:paraId="3F8E4D92" w14:textId="1963BC02" w:rsidR="005C5380" w:rsidRPr="00EB1C54" w:rsidRDefault="005C5380">
      <w:pPr>
        <w:pStyle w:val="EndnoteText"/>
        <w:rPr>
          <w:sz w:val="18"/>
          <w:szCs w:val="18"/>
        </w:rPr>
      </w:pPr>
      <w:r w:rsidRPr="00EB1C54">
        <w:rPr>
          <w:rStyle w:val="EndnoteReference"/>
          <w:sz w:val="18"/>
          <w:szCs w:val="18"/>
        </w:rPr>
        <w:endnoteRef/>
      </w:r>
      <w:hyperlink r:id="rId4" w:history="1">
        <w:r w:rsidRPr="00EB1C54">
          <w:rPr>
            <w:rStyle w:val="Hyperlink"/>
            <w:sz w:val="18"/>
            <w:szCs w:val="18"/>
          </w:rPr>
          <w:t>https://pure.strath.ac.uk/portal/files/62580788/Sales_2015_Citizens_advice_bureaux_clients_and_advisers.pdf</w:t>
        </w:r>
      </w:hyperlink>
      <w:r w:rsidRPr="00EB1C54">
        <w:rPr>
          <w:sz w:val="18"/>
          <w:szCs w:val="18"/>
        </w:rPr>
        <w:t xml:space="preserve"> </w:t>
      </w:r>
    </w:p>
  </w:endnote>
  <w:endnote w:id="6">
    <w:p w14:paraId="5AFF1C0A" w14:textId="4E976598" w:rsidR="005C5380" w:rsidRPr="00EB1C54" w:rsidRDefault="005C5380">
      <w:pPr>
        <w:pStyle w:val="EndnoteText"/>
        <w:rPr>
          <w:sz w:val="18"/>
          <w:szCs w:val="18"/>
        </w:rPr>
      </w:pPr>
      <w:r w:rsidRPr="00EB1C54">
        <w:rPr>
          <w:rStyle w:val="EndnoteReference"/>
          <w:sz w:val="18"/>
          <w:szCs w:val="18"/>
        </w:rPr>
        <w:endnoteRef/>
      </w:r>
      <w:r w:rsidRPr="00EB1C54">
        <w:rPr>
          <w:sz w:val="18"/>
          <w:szCs w:val="18"/>
        </w:rPr>
        <w:t xml:space="preserve"> </w:t>
      </w:r>
      <w:r w:rsidRPr="00EB1C54">
        <w:rPr>
          <w:i/>
          <w:sz w:val="18"/>
          <w:szCs w:val="18"/>
        </w:rPr>
        <w:t>Ibid</w:t>
      </w:r>
    </w:p>
  </w:endnote>
  <w:endnote w:id="7">
    <w:p w14:paraId="5142B141" w14:textId="58FAFB18" w:rsidR="005C5380" w:rsidRPr="00EB1C54" w:rsidRDefault="005C5380">
      <w:pPr>
        <w:pStyle w:val="EndnoteText"/>
        <w:rPr>
          <w:sz w:val="18"/>
          <w:szCs w:val="18"/>
        </w:rPr>
      </w:pPr>
      <w:r w:rsidRPr="00EB1C54">
        <w:rPr>
          <w:rStyle w:val="EndnoteReference"/>
          <w:sz w:val="18"/>
          <w:szCs w:val="18"/>
        </w:rPr>
        <w:endnoteRef/>
      </w:r>
      <w:r w:rsidRPr="00EB1C54">
        <w:rPr>
          <w:rStyle w:val="EndnoteReference"/>
          <w:sz w:val="18"/>
          <w:szCs w:val="18"/>
        </w:rPr>
        <w:endnoteRef/>
      </w:r>
      <w:hyperlink r:id="rId5" w:history="1">
        <w:r w:rsidRPr="00EB1C54">
          <w:rPr>
            <w:rStyle w:val="Hyperlink"/>
            <w:sz w:val="18"/>
            <w:szCs w:val="18"/>
          </w:rPr>
          <w:t>https://www.gov.uk/government/uploads/system/uploads/attachment_data/file/537432/OTS_Employment_Status_report_March_2016_u.pdf</w:t>
        </w:r>
      </w:hyperlink>
      <w:r w:rsidRPr="00EB1C54">
        <w:rPr>
          <w:sz w:val="18"/>
          <w:szCs w:val="18"/>
        </w:rPr>
        <w:t xml:space="preserve"> </w:t>
      </w:r>
    </w:p>
  </w:endnote>
  <w:endnote w:id="8">
    <w:p w14:paraId="0696F4F1" w14:textId="77777777" w:rsidR="005C5380" w:rsidRPr="00EB1C54" w:rsidRDefault="005C5380" w:rsidP="00257DD6">
      <w:pPr>
        <w:pStyle w:val="EndnoteText"/>
        <w:rPr>
          <w:sz w:val="18"/>
          <w:szCs w:val="18"/>
        </w:rPr>
      </w:pPr>
      <w:r w:rsidRPr="00EB1C54">
        <w:rPr>
          <w:rStyle w:val="EndnoteReference"/>
          <w:sz w:val="18"/>
          <w:szCs w:val="18"/>
        </w:rPr>
        <w:endnoteRef/>
      </w:r>
      <w:r w:rsidRPr="00EB1C54">
        <w:rPr>
          <w:sz w:val="18"/>
          <w:szCs w:val="18"/>
        </w:rPr>
        <w:t xml:space="preserve"> Under the </w:t>
      </w:r>
      <w:r w:rsidRPr="00EB1C54">
        <w:rPr>
          <w:b/>
          <w:sz w:val="18"/>
          <w:szCs w:val="18"/>
        </w:rPr>
        <w:t>Employment Rights Act 1996</w:t>
      </w:r>
      <w:r w:rsidRPr="00EB1C54">
        <w:rPr>
          <w:sz w:val="18"/>
          <w:szCs w:val="18"/>
        </w:rPr>
        <w:t>, a worker is defined as an individual who has entered into a contract to personally perform work or services for the other party to the contract, where the other party is not a client or customer of the individual's business. An “employee” is defined as an individual who has entered into, or works under, a contract of employment under the control of the employer. All employees are workers, but employees have extra rights and responsibilities that don’t apply to workers who aren’t employees. The broad distinction is that ‘employee’ is an individual who works under a ‘contract of service’ (</w:t>
      </w:r>
      <w:proofErr w:type="spellStart"/>
      <w:r w:rsidRPr="00EB1C54">
        <w:rPr>
          <w:sz w:val="18"/>
          <w:szCs w:val="18"/>
        </w:rPr>
        <w:t>ie</w:t>
      </w:r>
      <w:proofErr w:type="spellEnd"/>
      <w:r w:rsidRPr="00EB1C54">
        <w:rPr>
          <w:sz w:val="18"/>
          <w:szCs w:val="18"/>
        </w:rPr>
        <w:t xml:space="preserve"> a contract of employment, whilst a worker delivers a ‘contract for service’; however the question of status complex and subject to court and tribunal jurisdiction.</w:t>
      </w:r>
    </w:p>
  </w:endnote>
  <w:endnote w:id="9">
    <w:p w14:paraId="3906E317" w14:textId="78236002" w:rsidR="005C5380" w:rsidRPr="00EB1C54" w:rsidRDefault="005C5380">
      <w:pPr>
        <w:pStyle w:val="EndnoteText"/>
        <w:rPr>
          <w:sz w:val="18"/>
          <w:szCs w:val="18"/>
        </w:rPr>
      </w:pPr>
      <w:r w:rsidRPr="00EB1C54">
        <w:rPr>
          <w:rStyle w:val="EndnoteReference"/>
          <w:sz w:val="18"/>
          <w:szCs w:val="18"/>
        </w:rPr>
        <w:endnoteRef/>
      </w:r>
      <w:r w:rsidRPr="00EB1C54">
        <w:rPr>
          <w:sz w:val="18"/>
          <w:szCs w:val="18"/>
        </w:rPr>
        <w:t xml:space="preserve"> </w:t>
      </w:r>
      <w:proofErr w:type="gramStart"/>
      <w:r w:rsidRPr="00EB1C54">
        <w:rPr>
          <w:sz w:val="18"/>
          <w:szCs w:val="18"/>
        </w:rPr>
        <w:t>Baldwin, Cave and Lodge</w:t>
      </w:r>
      <w:r w:rsidRPr="00EB1C54">
        <w:rPr>
          <w:i/>
          <w:sz w:val="18"/>
          <w:szCs w:val="18"/>
        </w:rPr>
        <w:t>.</w:t>
      </w:r>
      <w:proofErr w:type="gramEnd"/>
      <w:r w:rsidRPr="00EB1C54">
        <w:rPr>
          <w:i/>
          <w:sz w:val="18"/>
          <w:szCs w:val="18"/>
        </w:rPr>
        <w:t xml:space="preserve"> Understanding Regulation, theory strategy and practice</w:t>
      </w:r>
      <w:r w:rsidRPr="00EB1C54">
        <w:rPr>
          <w:sz w:val="18"/>
          <w:szCs w:val="18"/>
        </w:rPr>
        <w:t xml:space="preserve"> OUP 2013</w:t>
      </w:r>
    </w:p>
  </w:endnote>
  <w:endnote w:id="10">
    <w:p w14:paraId="1EC538EC" w14:textId="55EE58B7" w:rsidR="000659AF" w:rsidRPr="00EB1C54" w:rsidRDefault="000659AF">
      <w:pPr>
        <w:pStyle w:val="EndnoteText"/>
        <w:rPr>
          <w:sz w:val="18"/>
          <w:szCs w:val="18"/>
        </w:rPr>
      </w:pPr>
      <w:r w:rsidRPr="00EB1C54">
        <w:rPr>
          <w:rStyle w:val="EndnoteReference"/>
          <w:sz w:val="18"/>
          <w:szCs w:val="18"/>
        </w:rPr>
        <w:endnoteRef/>
      </w:r>
      <w:hyperlink r:id="rId6" w:history="1">
        <w:r w:rsidRPr="00EB1C54">
          <w:rPr>
            <w:rStyle w:val="Hyperlink"/>
            <w:sz w:val="18"/>
            <w:szCs w:val="18"/>
          </w:rPr>
          <w:t>https://www.citizensadvice.org.uk/Global/Public/Advice%20trends/Advice%20trends%202016-17/Advicetrends201617Q1.pdf</w:t>
        </w:r>
      </w:hyperlink>
      <w:r w:rsidRPr="00EB1C54">
        <w:rPr>
          <w:sz w:val="18"/>
          <w:szCs w:val="18"/>
        </w:rPr>
        <w:t xml:space="preserve"> </w:t>
      </w:r>
    </w:p>
  </w:endnote>
  <w:endnote w:id="11">
    <w:p w14:paraId="702CF878" w14:textId="33CE418B" w:rsidR="005C5380" w:rsidRPr="00EB1C54" w:rsidRDefault="005C5380">
      <w:pPr>
        <w:pStyle w:val="EndnoteText"/>
        <w:rPr>
          <w:sz w:val="18"/>
          <w:szCs w:val="18"/>
        </w:rPr>
      </w:pPr>
      <w:r w:rsidRPr="00EB1C54">
        <w:rPr>
          <w:rStyle w:val="EndnoteReference"/>
          <w:sz w:val="18"/>
          <w:szCs w:val="18"/>
        </w:rPr>
        <w:endnoteRef/>
      </w:r>
      <w:hyperlink r:id="rId7" w:history="1">
        <w:r w:rsidR="000659AF" w:rsidRPr="00EB1C54">
          <w:rPr>
            <w:rStyle w:val="Hyperlink"/>
            <w:sz w:val="18"/>
            <w:szCs w:val="18"/>
          </w:rPr>
          <w:t>http://www2.cipd.co.uk/pm/peoplemanagement/b/weblog/archive/2013/11/25/employment-claims-find-a-different-route-to-justice.aspx</w:t>
        </w:r>
      </w:hyperlink>
      <w:r w:rsidR="000659AF" w:rsidRPr="00EB1C54">
        <w:rPr>
          <w:sz w:val="18"/>
          <w:szCs w:val="18"/>
        </w:rPr>
        <w:t xml:space="preserve"> </w:t>
      </w:r>
    </w:p>
  </w:endnote>
  <w:endnote w:id="12">
    <w:p w14:paraId="683F6B5C" w14:textId="64B2BD78" w:rsidR="005C5380" w:rsidRPr="00EB1C54" w:rsidRDefault="005C5380">
      <w:pPr>
        <w:pStyle w:val="EndnoteText"/>
        <w:rPr>
          <w:sz w:val="18"/>
          <w:szCs w:val="18"/>
        </w:rPr>
      </w:pPr>
      <w:r w:rsidRPr="00EB1C54">
        <w:rPr>
          <w:rStyle w:val="EndnoteReference"/>
          <w:sz w:val="18"/>
          <w:szCs w:val="18"/>
        </w:rPr>
        <w:endnoteRef/>
      </w:r>
      <w:r w:rsidRPr="00EB1C54">
        <w:rPr>
          <w:sz w:val="18"/>
          <w:szCs w:val="18"/>
        </w:rPr>
        <w:t xml:space="preserve"> </w:t>
      </w:r>
      <w:hyperlink r:id="rId8" w:history="1">
        <w:r w:rsidRPr="00EB1C54">
          <w:rPr>
            <w:rStyle w:val="Hyperlink"/>
            <w:sz w:val="18"/>
            <w:szCs w:val="18"/>
          </w:rPr>
          <w:t>https://www.leighday.co.uk/News/News-2016/October-2016/Historic-victory-for-Uber-drivers-as-Tribunal-find</w:t>
        </w:r>
      </w:hyperlink>
      <w:r w:rsidRPr="00EB1C54">
        <w:rPr>
          <w:i/>
          <w:sz w:val="18"/>
          <w:szCs w:val="18"/>
        </w:rPr>
        <w:t xml:space="preserve"> </w:t>
      </w:r>
    </w:p>
  </w:endnote>
  <w:endnote w:id="13">
    <w:p w14:paraId="47C99C28" w14:textId="766B058E" w:rsidR="005C5380" w:rsidRPr="00EB1C54" w:rsidRDefault="005C5380">
      <w:pPr>
        <w:pStyle w:val="EndnoteText"/>
        <w:rPr>
          <w:sz w:val="18"/>
          <w:szCs w:val="18"/>
        </w:rPr>
      </w:pPr>
      <w:r w:rsidRPr="00EB1C54">
        <w:rPr>
          <w:rStyle w:val="EndnoteReference"/>
          <w:sz w:val="18"/>
          <w:szCs w:val="18"/>
        </w:rPr>
        <w:endnoteRef/>
      </w:r>
      <w:r w:rsidRPr="00EB1C54">
        <w:rPr>
          <w:sz w:val="18"/>
          <w:szCs w:val="18"/>
        </w:rPr>
        <w:t xml:space="preserve"> </w:t>
      </w:r>
      <w:hyperlink r:id="rId9" w:history="1">
        <w:r w:rsidRPr="00EB1C54">
          <w:rPr>
            <w:rStyle w:val="Hyperlink"/>
            <w:sz w:val="18"/>
            <w:szCs w:val="18"/>
          </w:rPr>
          <w:t>https://www.theguardian.com/business/2017/jan/31/gig-econoomy-guarantee-minimum-wage-frank-field</w:t>
        </w:r>
      </w:hyperlink>
      <w:r w:rsidRPr="00EB1C54">
        <w:rPr>
          <w:sz w:val="18"/>
          <w:szCs w:val="18"/>
        </w:rPr>
        <w:t xml:space="preserve"> </w:t>
      </w:r>
    </w:p>
  </w:endnote>
  <w:endnote w:id="14">
    <w:p w14:paraId="24D23860" w14:textId="65729AA6" w:rsidR="005C5380" w:rsidRPr="00EB1C54" w:rsidRDefault="005C5380" w:rsidP="00B473D7">
      <w:pPr>
        <w:pStyle w:val="EndnoteText"/>
        <w:rPr>
          <w:sz w:val="18"/>
          <w:szCs w:val="18"/>
        </w:rPr>
      </w:pPr>
      <w:r w:rsidRPr="00EB1C54">
        <w:rPr>
          <w:rStyle w:val="EndnoteReference"/>
          <w:sz w:val="18"/>
          <w:szCs w:val="18"/>
        </w:rPr>
        <w:endnoteRef/>
      </w:r>
      <w:r w:rsidRPr="00EB1C54">
        <w:rPr>
          <w:sz w:val="18"/>
          <w:szCs w:val="18"/>
        </w:rPr>
        <w:t xml:space="preserve"> </w:t>
      </w:r>
      <w:hyperlink r:id="rId10" w:history="1">
        <w:r w:rsidRPr="00EB1C54">
          <w:rPr>
            <w:rStyle w:val="Hyperlink"/>
            <w:sz w:val="18"/>
            <w:szCs w:val="18"/>
          </w:rPr>
          <w:t>https://www.gov.uk/government/consultations/national-minimum-wage-draft-consolidated-regulations</w:t>
        </w:r>
      </w:hyperlink>
      <w:r w:rsidRPr="00EB1C54">
        <w:rPr>
          <w:sz w:val="18"/>
          <w:szCs w:val="18"/>
        </w:rPr>
        <w:t xml:space="preserve"> </w:t>
      </w:r>
    </w:p>
  </w:endnote>
  <w:endnote w:id="15">
    <w:p w14:paraId="64068FE5" w14:textId="28BF100C" w:rsidR="005C5380" w:rsidRPr="00EB1C54" w:rsidRDefault="005C5380">
      <w:pPr>
        <w:pStyle w:val="EndnoteText"/>
        <w:rPr>
          <w:sz w:val="18"/>
          <w:szCs w:val="18"/>
        </w:rPr>
      </w:pPr>
      <w:r w:rsidRPr="00EB1C54">
        <w:rPr>
          <w:rStyle w:val="EndnoteReference"/>
          <w:sz w:val="18"/>
          <w:szCs w:val="18"/>
        </w:rPr>
        <w:endnoteRef/>
      </w:r>
      <w:r w:rsidRPr="00EB1C54">
        <w:rPr>
          <w:sz w:val="18"/>
          <w:szCs w:val="18"/>
        </w:rPr>
        <w:t xml:space="preserve"> </w:t>
      </w:r>
      <w:hyperlink r:id="rId11" w:history="1">
        <w:r w:rsidRPr="00EB1C54">
          <w:rPr>
            <w:rStyle w:val="Hyperlink"/>
            <w:sz w:val="18"/>
            <w:szCs w:val="18"/>
          </w:rPr>
          <w:t>https://www.tuc.org.uk/sites/default/files/Casualisationandlowpay.docx</w:t>
        </w:r>
      </w:hyperlink>
      <w:r w:rsidRPr="00EB1C54">
        <w:rPr>
          <w:sz w:val="18"/>
          <w:szCs w:val="18"/>
        </w:rPr>
        <w:t xml:space="preserve"> </w:t>
      </w:r>
    </w:p>
  </w:endnote>
  <w:endnote w:id="16">
    <w:p w14:paraId="3BB6BFA5" w14:textId="1CBB6FF7" w:rsidR="005C5380" w:rsidRPr="00EB1C54" w:rsidRDefault="005C5380">
      <w:pPr>
        <w:pStyle w:val="EndnoteText"/>
        <w:rPr>
          <w:sz w:val="18"/>
          <w:szCs w:val="18"/>
        </w:rPr>
      </w:pPr>
      <w:r w:rsidRPr="00EB1C54">
        <w:rPr>
          <w:rStyle w:val="EndnoteReference"/>
          <w:sz w:val="18"/>
          <w:szCs w:val="18"/>
        </w:rPr>
        <w:endnoteRef/>
      </w:r>
      <w:r w:rsidRPr="00EB1C54">
        <w:rPr>
          <w:sz w:val="18"/>
          <w:szCs w:val="18"/>
        </w:rPr>
        <w:t xml:space="preserve"> (SI 2013/1893) (“Fees Order 2013) </w:t>
      </w:r>
    </w:p>
  </w:endnote>
  <w:endnote w:id="17">
    <w:p w14:paraId="2E7612A4" w14:textId="3023E64D" w:rsidR="005C5380" w:rsidRPr="00EB1C54" w:rsidRDefault="005C5380">
      <w:pPr>
        <w:pStyle w:val="EndnoteText"/>
        <w:rPr>
          <w:sz w:val="18"/>
          <w:szCs w:val="18"/>
        </w:rPr>
      </w:pPr>
      <w:r w:rsidRPr="00EB1C54">
        <w:rPr>
          <w:rStyle w:val="EndnoteReference"/>
          <w:sz w:val="18"/>
          <w:szCs w:val="18"/>
        </w:rPr>
        <w:endnoteRef/>
      </w:r>
      <w:r w:rsidRPr="00EB1C54">
        <w:rPr>
          <w:sz w:val="18"/>
          <w:szCs w:val="18"/>
        </w:rPr>
        <w:t xml:space="preserve"> </w:t>
      </w:r>
      <w:hyperlink r:id="rId12" w:history="1">
        <w:r w:rsidRPr="00EB1C54">
          <w:rPr>
            <w:rStyle w:val="Hyperlink"/>
            <w:sz w:val="18"/>
            <w:szCs w:val="18"/>
          </w:rPr>
          <w:t>https://consult.justice.gov.uk/digital-communications/et-fee-charging-regime-cp22-2011/supporting_documents/chargingfeesinetandeat1.pdf</w:t>
        </w:r>
      </w:hyperlink>
      <w:r w:rsidRPr="00EB1C54">
        <w:rPr>
          <w:sz w:val="18"/>
          <w:szCs w:val="18"/>
        </w:rPr>
        <w:t xml:space="preserve"> </w:t>
      </w:r>
    </w:p>
  </w:endnote>
  <w:endnote w:id="18">
    <w:p w14:paraId="1E5503A4" w14:textId="18BA5BBF" w:rsidR="005C5380" w:rsidRPr="00EB1C54" w:rsidRDefault="005C5380">
      <w:pPr>
        <w:pStyle w:val="EndnoteText"/>
        <w:rPr>
          <w:sz w:val="18"/>
          <w:szCs w:val="18"/>
        </w:rPr>
      </w:pPr>
      <w:r w:rsidRPr="00EB1C54">
        <w:rPr>
          <w:rStyle w:val="EndnoteReference"/>
          <w:sz w:val="18"/>
          <w:szCs w:val="18"/>
        </w:rPr>
        <w:endnoteRef/>
      </w:r>
      <w:r w:rsidRPr="00EB1C54">
        <w:rPr>
          <w:sz w:val="18"/>
          <w:szCs w:val="18"/>
        </w:rPr>
        <w:t xml:space="preserve"> </w:t>
      </w:r>
      <w:hyperlink r:id="rId13" w:history="1">
        <w:r w:rsidRPr="00EB1C54">
          <w:rPr>
            <w:rStyle w:val="Hyperlink"/>
            <w:sz w:val="18"/>
            <w:szCs w:val="18"/>
          </w:rPr>
          <w:t>https://www.gov.uk/government/uploads/system/uploads/attachment_data/file/32696/12-1039-employment-tribunal-rules-underhill-review.pdf</w:t>
        </w:r>
      </w:hyperlink>
    </w:p>
  </w:endnote>
  <w:endnote w:id="19">
    <w:p w14:paraId="6ACB3E79" w14:textId="11ACCAE1" w:rsidR="005C5380" w:rsidRPr="00EB1C54" w:rsidRDefault="005C5380">
      <w:pPr>
        <w:pStyle w:val="EndnoteText"/>
        <w:rPr>
          <w:sz w:val="18"/>
          <w:szCs w:val="18"/>
        </w:rPr>
      </w:pPr>
      <w:r w:rsidRPr="00EB1C54">
        <w:rPr>
          <w:rStyle w:val="EndnoteReference"/>
          <w:sz w:val="18"/>
          <w:szCs w:val="18"/>
        </w:rPr>
        <w:endnoteRef/>
      </w:r>
      <w:r w:rsidRPr="00EB1C54">
        <w:rPr>
          <w:sz w:val="18"/>
          <w:szCs w:val="18"/>
        </w:rPr>
        <w:t xml:space="preserve"> </w:t>
      </w:r>
      <w:hyperlink r:id="rId14" w:history="1">
        <w:r w:rsidRPr="00EB1C54">
          <w:rPr>
            <w:rStyle w:val="Hyperlink"/>
            <w:sz w:val="18"/>
            <w:szCs w:val="18"/>
          </w:rPr>
          <w:t>https://www.gov.uk/government/consultations/reforming-the-employment-tribunal-system</w:t>
        </w:r>
      </w:hyperlink>
    </w:p>
  </w:endnote>
  <w:endnote w:id="20">
    <w:p w14:paraId="12289295" w14:textId="122D4B36" w:rsidR="005C5380" w:rsidRPr="00EB1C54" w:rsidRDefault="005C5380">
      <w:pPr>
        <w:pStyle w:val="EndnoteText"/>
        <w:rPr>
          <w:sz w:val="18"/>
          <w:szCs w:val="18"/>
        </w:rPr>
      </w:pPr>
      <w:r w:rsidRPr="00EB1C54">
        <w:rPr>
          <w:rStyle w:val="EndnoteReference"/>
          <w:sz w:val="18"/>
          <w:szCs w:val="18"/>
        </w:rPr>
        <w:endnoteRef/>
      </w:r>
      <w:r w:rsidRPr="00EB1C54">
        <w:rPr>
          <w:sz w:val="18"/>
          <w:szCs w:val="18"/>
        </w:rPr>
        <w:t xml:space="preserve"> </w:t>
      </w:r>
    </w:p>
  </w:endnote>
  <w:endnote w:id="21">
    <w:p w14:paraId="45D85D8E" w14:textId="136B7ED7" w:rsidR="005C5380" w:rsidRPr="00EB1C54" w:rsidRDefault="005C5380">
      <w:pPr>
        <w:pStyle w:val="EndnoteText"/>
        <w:rPr>
          <w:sz w:val="18"/>
          <w:szCs w:val="18"/>
        </w:rPr>
      </w:pPr>
      <w:r w:rsidRPr="00EB1C54">
        <w:rPr>
          <w:rStyle w:val="EndnoteReference"/>
          <w:sz w:val="18"/>
          <w:szCs w:val="18"/>
        </w:rPr>
        <w:endnoteRef/>
      </w:r>
      <w:r w:rsidRPr="00EB1C54">
        <w:rPr>
          <w:sz w:val="18"/>
          <w:szCs w:val="18"/>
        </w:rPr>
        <w:t xml:space="preserve"> </w:t>
      </w:r>
      <w:hyperlink r:id="rId15" w:history="1">
        <w:r w:rsidR="00D97526" w:rsidRPr="00EB1C54">
          <w:rPr>
            <w:rStyle w:val="Hyperlink"/>
            <w:sz w:val="18"/>
            <w:szCs w:val="18"/>
          </w:rPr>
          <w:t>https://consult.justice.gov.uk/digital-communications/review-of-fees-in-employment-tribunals/</w:t>
        </w:r>
      </w:hyperlink>
      <w:r w:rsidR="00D97526" w:rsidRPr="00EB1C54">
        <w:rPr>
          <w:sz w:val="18"/>
          <w:szCs w:val="18"/>
        </w:rPr>
        <w:t xml:space="preserve"> </w:t>
      </w:r>
    </w:p>
  </w:endnote>
  <w:endnote w:id="22">
    <w:p w14:paraId="398C23E3" w14:textId="3AC7FFF7" w:rsidR="005C5380" w:rsidRPr="00EB1C54" w:rsidRDefault="005C5380">
      <w:pPr>
        <w:pStyle w:val="EndnoteText"/>
        <w:rPr>
          <w:sz w:val="18"/>
          <w:szCs w:val="18"/>
        </w:rPr>
      </w:pPr>
      <w:r w:rsidRPr="00EB1C54">
        <w:rPr>
          <w:rStyle w:val="EndnoteReference"/>
          <w:sz w:val="18"/>
          <w:szCs w:val="18"/>
        </w:rPr>
        <w:endnoteRef/>
      </w:r>
      <w:r w:rsidRPr="00EB1C54">
        <w:rPr>
          <w:sz w:val="18"/>
          <w:szCs w:val="18"/>
        </w:rPr>
        <w:t xml:space="preserve"> </w:t>
      </w:r>
      <w:hyperlink r:id="rId16" w:history="1">
        <w:r w:rsidR="00D97526" w:rsidRPr="00EB1C54">
          <w:rPr>
            <w:rStyle w:val="Hyperlink"/>
            <w:sz w:val="18"/>
            <w:szCs w:val="18"/>
          </w:rPr>
          <w:t>https://www.publications.parliament.uk/pa/cm201617/cmselect/cmjust/167/16702.htm</w:t>
        </w:r>
      </w:hyperlink>
      <w:r w:rsidR="00D97526" w:rsidRPr="00EB1C54">
        <w:rPr>
          <w:sz w:val="18"/>
          <w:szCs w:val="18"/>
        </w:rPr>
        <w:t xml:space="preserve"> </w:t>
      </w:r>
    </w:p>
  </w:endnote>
  <w:endnote w:id="23">
    <w:p w14:paraId="5049996D" w14:textId="5FF84EB7" w:rsidR="005C5380" w:rsidRPr="00EB1C54" w:rsidRDefault="005C5380">
      <w:pPr>
        <w:pStyle w:val="EndnoteText"/>
        <w:rPr>
          <w:sz w:val="18"/>
          <w:szCs w:val="18"/>
        </w:rPr>
      </w:pPr>
      <w:r w:rsidRPr="00EB1C54">
        <w:rPr>
          <w:rStyle w:val="EndnoteReference"/>
          <w:sz w:val="18"/>
          <w:szCs w:val="18"/>
        </w:rPr>
        <w:endnoteRef/>
      </w:r>
      <w:r w:rsidRPr="00EB1C54">
        <w:rPr>
          <w:sz w:val="18"/>
          <w:szCs w:val="18"/>
        </w:rPr>
        <w:t xml:space="preserve"> </w:t>
      </w:r>
      <w:hyperlink r:id="rId17" w:history="1">
        <w:r w:rsidR="000659AF" w:rsidRPr="00EB1C54">
          <w:rPr>
            <w:rStyle w:val="Hyperlink"/>
            <w:sz w:val="18"/>
            <w:szCs w:val="18"/>
          </w:rPr>
          <w:t>http://webarchive.nationalarchives.gov.uk/20111121205348/http:/www.justice.gov.uk/consultations/legal-aid-reform.htm</w:t>
        </w:r>
      </w:hyperlink>
      <w:r w:rsidR="000659AF" w:rsidRPr="00EB1C54">
        <w:rPr>
          <w:sz w:val="18"/>
          <w:szCs w:val="18"/>
        </w:rPr>
        <w:t xml:space="preserve"> </w:t>
      </w:r>
    </w:p>
  </w:endnote>
  <w:endnote w:id="24">
    <w:p w14:paraId="328FBBE5" w14:textId="41E65D8F" w:rsidR="005C5380" w:rsidRPr="00EB1C54" w:rsidRDefault="005C5380">
      <w:pPr>
        <w:pStyle w:val="EndnoteText"/>
        <w:rPr>
          <w:sz w:val="18"/>
          <w:szCs w:val="18"/>
        </w:rPr>
      </w:pPr>
      <w:r w:rsidRPr="00EB1C54">
        <w:rPr>
          <w:rStyle w:val="EndnoteReference"/>
          <w:sz w:val="18"/>
          <w:szCs w:val="18"/>
        </w:rPr>
        <w:endnoteRef/>
      </w:r>
      <w:r w:rsidRPr="00EB1C54">
        <w:rPr>
          <w:sz w:val="18"/>
          <w:szCs w:val="18"/>
        </w:rPr>
        <w:t xml:space="preserve"> </w:t>
      </w:r>
      <w:hyperlink r:id="rId18" w:history="1">
        <w:r w:rsidR="000659AF" w:rsidRPr="00EB1C54">
          <w:rPr>
            <w:rStyle w:val="Hyperlink"/>
            <w:sz w:val="18"/>
            <w:szCs w:val="18"/>
          </w:rPr>
          <w:t>https://www.lawworks.org.uk/about-us/news/lawworks-attorney-general-student-awards-2017</w:t>
        </w:r>
      </w:hyperlink>
      <w:r w:rsidR="000659AF" w:rsidRPr="00EB1C54">
        <w:rPr>
          <w:sz w:val="18"/>
          <w:szCs w:val="18"/>
        </w:rPr>
        <w:t xml:space="preserve">  </w:t>
      </w:r>
    </w:p>
  </w:endnote>
  <w:endnote w:id="25">
    <w:p w14:paraId="4F281D1A" w14:textId="14731FF5" w:rsidR="005C5380" w:rsidRPr="00EB1C54" w:rsidRDefault="005C5380">
      <w:pPr>
        <w:pStyle w:val="EndnoteText"/>
        <w:rPr>
          <w:sz w:val="18"/>
          <w:szCs w:val="18"/>
        </w:rPr>
      </w:pPr>
      <w:r w:rsidRPr="00EB1C54">
        <w:rPr>
          <w:rStyle w:val="EndnoteReference"/>
          <w:sz w:val="18"/>
          <w:szCs w:val="18"/>
        </w:rPr>
        <w:endnoteRef/>
      </w:r>
      <w:r w:rsidRPr="00EB1C54">
        <w:rPr>
          <w:sz w:val="18"/>
          <w:szCs w:val="18"/>
        </w:rPr>
        <w:t xml:space="preserve"> </w:t>
      </w:r>
      <w:hyperlink r:id="rId19" w:history="1">
        <w:r w:rsidRPr="00EB1C54">
          <w:rPr>
            <w:rStyle w:val="Hyperlink"/>
            <w:sz w:val="18"/>
            <w:szCs w:val="18"/>
          </w:rPr>
          <w:t>https://www.gov.uk/government/uploads/system/uploads/attachment_data/file/529702/ind-16-2-self-employment-review.pdf</w:t>
        </w:r>
      </w:hyperlink>
      <w:r w:rsidRPr="00EB1C54">
        <w:rPr>
          <w:sz w:val="18"/>
          <w:szCs w:val="18"/>
        </w:rPr>
        <w:t xml:space="preserve"> </w:t>
      </w:r>
    </w:p>
  </w:endnote>
  <w:endnote w:id="26">
    <w:p w14:paraId="50F15146" w14:textId="77777777" w:rsidR="005C5380" w:rsidRPr="00EB1C54" w:rsidRDefault="005C5380">
      <w:pPr>
        <w:pStyle w:val="EndnoteText"/>
        <w:rPr>
          <w:sz w:val="18"/>
          <w:szCs w:val="18"/>
        </w:rPr>
      </w:pPr>
      <w:r w:rsidRPr="00EB1C54">
        <w:rPr>
          <w:rStyle w:val="EndnoteReference"/>
          <w:sz w:val="18"/>
          <w:szCs w:val="18"/>
        </w:rPr>
        <w:endnoteRef/>
      </w:r>
      <w:r w:rsidRPr="00EB1C54">
        <w:rPr>
          <w:sz w:val="18"/>
          <w:szCs w:val="18"/>
        </w:rPr>
        <w:t xml:space="preserve"> </w:t>
      </w:r>
      <w:r w:rsidRPr="00EB1C54">
        <w:rPr>
          <w:i/>
          <w:sz w:val="18"/>
          <w:szCs w:val="18"/>
        </w:rPr>
        <w:t>ibid</w:t>
      </w:r>
    </w:p>
  </w:endnote>
  <w:endnote w:id="27">
    <w:p w14:paraId="54C7DAAC" w14:textId="6720CFFA" w:rsidR="005C5380" w:rsidRPr="00EB1C54" w:rsidRDefault="005C5380">
      <w:pPr>
        <w:pStyle w:val="EndnoteText"/>
        <w:rPr>
          <w:sz w:val="18"/>
          <w:szCs w:val="18"/>
        </w:rPr>
      </w:pPr>
      <w:r w:rsidRPr="00EB1C54">
        <w:rPr>
          <w:rStyle w:val="EndnoteReference"/>
          <w:sz w:val="18"/>
          <w:szCs w:val="18"/>
        </w:rPr>
        <w:endnoteRef/>
      </w:r>
      <w:r w:rsidRPr="00EB1C54">
        <w:rPr>
          <w:sz w:val="18"/>
          <w:szCs w:val="18"/>
        </w:rPr>
        <w:t xml:space="preserve"> </w:t>
      </w:r>
      <w:r w:rsidRPr="00EB1C54">
        <w:rPr>
          <w:i/>
          <w:sz w:val="18"/>
          <w:szCs w:val="18"/>
        </w:rPr>
        <w:t xml:space="preserve">ibid </w:t>
      </w:r>
      <w:hyperlink r:id="rId20" w:history="1">
        <w:r w:rsidRPr="00EB1C54">
          <w:rPr>
            <w:rStyle w:val="Hyperlink"/>
            <w:sz w:val="18"/>
            <w:szCs w:val="18"/>
          </w:rPr>
          <w:t>https://www.gov.uk/government/uploads/system/uploads/attachment_data/file/537432/OTS_Employment_Status_report_March_2016_u.pdf</w:t>
        </w:r>
      </w:hyperlink>
      <w:r w:rsidRPr="00EB1C54">
        <w:rPr>
          <w:sz w:val="18"/>
          <w:szCs w:val="18"/>
        </w:rPr>
        <w:t xml:space="preserve"> </w:t>
      </w:r>
    </w:p>
  </w:endnote>
  <w:endnote w:id="28">
    <w:p w14:paraId="121CD613" w14:textId="53E9427F" w:rsidR="005C5380" w:rsidRPr="00EB1C54" w:rsidRDefault="005C5380">
      <w:pPr>
        <w:pStyle w:val="EndnoteText"/>
        <w:rPr>
          <w:sz w:val="18"/>
          <w:szCs w:val="18"/>
        </w:rPr>
      </w:pPr>
      <w:r w:rsidRPr="00EB1C54">
        <w:rPr>
          <w:rStyle w:val="EndnoteReference"/>
          <w:sz w:val="18"/>
          <w:szCs w:val="18"/>
        </w:rPr>
        <w:endnoteRef/>
      </w:r>
      <w:r w:rsidRPr="00EB1C54">
        <w:rPr>
          <w:sz w:val="18"/>
          <w:szCs w:val="18"/>
        </w:rPr>
        <w:t xml:space="preserve"> </w:t>
      </w:r>
      <w:hyperlink r:id="rId21" w:history="1">
        <w:r w:rsidRPr="00EB1C54">
          <w:rPr>
            <w:rStyle w:val="Hyperlink"/>
            <w:sz w:val="18"/>
            <w:szCs w:val="18"/>
          </w:rPr>
          <w:t>https://www.publications.parliament.uk/pa/cm201617/cmselect/cmworpen/847/84702.htm</w:t>
        </w:r>
      </w:hyperlink>
      <w:r w:rsidRPr="00EB1C54">
        <w:rPr>
          <w:sz w:val="18"/>
          <w:szCs w:val="18"/>
        </w:rPr>
        <w:t xml:space="preserve"> </w:t>
      </w:r>
    </w:p>
  </w:endnote>
  <w:endnote w:id="29">
    <w:p w14:paraId="774D455B" w14:textId="1705504D" w:rsidR="005C5380" w:rsidRPr="00EB1C54" w:rsidRDefault="005C5380">
      <w:pPr>
        <w:pStyle w:val="EndnoteText"/>
        <w:rPr>
          <w:sz w:val="18"/>
          <w:szCs w:val="18"/>
        </w:rPr>
      </w:pPr>
      <w:r w:rsidRPr="00EB1C54">
        <w:rPr>
          <w:rStyle w:val="EndnoteReference"/>
          <w:sz w:val="18"/>
          <w:szCs w:val="18"/>
        </w:rPr>
        <w:endnoteRef/>
      </w:r>
      <w:r w:rsidRPr="00EB1C54">
        <w:rPr>
          <w:sz w:val="18"/>
          <w:szCs w:val="18"/>
        </w:rPr>
        <w:t xml:space="preserve"> </w:t>
      </w:r>
      <w:hyperlink r:id="rId22" w:history="1">
        <w:r w:rsidRPr="00EB1C54">
          <w:rPr>
            <w:rStyle w:val="Hyperlink"/>
            <w:sz w:val="18"/>
            <w:szCs w:val="18"/>
          </w:rPr>
          <w:t>http://www.pwc.co.uk/issues/megatrends/collisions/sharingeconomy/outlook-for-the-sharing-economy-in-the-uk-2016.html</w:t>
        </w:r>
      </w:hyperlink>
      <w:r w:rsidRPr="00EB1C54">
        <w:rPr>
          <w:sz w:val="18"/>
          <w:szCs w:val="18"/>
        </w:rPr>
        <w:t xml:space="preserve"> </w:t>
      </w:r>
    </w:p>
  </w:endnote>
  <w:endnote w:id="30">
    <w:p w14:paraId="3FEC5FAA" w14:textId="3B87CC0E" w:rsidR="005B297B" w:rsidRDefault="005B297B">
      <w:pPr>
        <w:pStyle w:val="EndnoteText"/>
      </w:pPr>
      <w:r w:rsidRPr="00EB1C54">
        <w:rPr>
          <w:rStyle w:val="EndnoteReference"/>
          <w:sz w:val="18"/>
          <w:szCs w:val="18"/>
        </w:rPr>
        <w:endnoteRef/>
      </w:r>
      <w:r w:rsidRPr="00EB1C54">
        <w:rPr>
          <w:sz w:val="18"/>
          <w:szCs w:val="18"/>
        </w:rPr>
        <w:t xml:space="preserve"> </w:t>
      </w:r>
      <w:hyperlink r:id="rId23" w:history="1">
        <w:r w:rsidR="00EB1C54" w:rsidRPr="00E57E29">
          <w:rPr>
            <w:rStyle w:val="Hyperlink"/>
            <w:sz w:val="18"/>
            <w:szCs w:val="18"/>
          </w:rPr>
          <w:t>https://www.gov.uk/government/uploads/system/uploads/attachment_data/file/448442/BIS-15-434-UK-non-paper-on-sharing-economy.pdf</w:t>
        </w:r>
      </w:hyperlink>
      <w:r w:rsidR="00EB1C54">
        <w:rPr>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58895" w14:textId="77777777" w:rsidR="005C5380" w:rsidRPr="000A789A" w:rsidRDefault="005C5380" w:rsidP="005B5A1E">
    <w:pPr>
      <w:pStyle w:val="LawWsFooterRegular"/>
    </w:pPr>
    <w:r>
      <w:rPr>
        <w:noProof/>
        <w:lang w:eastAsia="en-GB"/>
      </w:rPr>
      <w:drawing>
        <wp:anchor distT="0" distB="0" distL="114300" distR="114300" simplePos="0" relativeHeight="251659264" behindDoc="1" locked="0" layoutInCell="1" allowOverlap="1" wp14:anchorId="74FDE3FC" wp14:editId="4B202C70">
          <wp:simplePos x="0" y="0"/>
          <wp:positionH relativeFrom="page">
            <wp:posOffset>360045</wp:posOffset>
          </wp:positionH>
          <wp:positionV relativeFrom="page">
            <wp:posOffset>9829165</wp:posOffset>
          </wp:positionV>
          <wp:extent cx="6840000" cy="66456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W0010_Factsheet_ClinicsResources_Footer.jpg"/>
                  <pic:cNvPicPr/>
                </pic:nvPicPr>
                <pic:blipFill>
                  <a:blip r:embed="rId1">
                    <a:extLst>
                      <a:ext uri="{28A0092B-C50C-407E-A947-70E740481C1C}">
                        <a14:useLocalDpi xmlns:a14="http://schemas.microsoft.com/office/drawing/2010/main" val="0"/>
                      </a:ext>
                    </a:extLst>
                  </a:blip>
                  <a:stretch>
                    <a:fillRect/>
                  </a:stretch>
                </pic:blipFill>
                <pic:spPr>
                  <a:xfrm>
                    <a:off x="0" y="0"/>
                    <a:ext cx="6840000" cy="664563"/>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5="http://schemas.microsoft.com/office/word/2012/wordml" xmlns:w16se="http://schemas.microsoft.com/office/word/2015/wordml/symex"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0A789A">
      <w:t xml:space="preserve"> </w:t>
    </w:r>
    <w:proofErr w:type="gramStart"/>
    <w:r w:rsidRPr="005B5A1E">
      <w:rPr>
        <w:rStyle w:val="LawWsFooterBold"/>
      </w:rPr>
      <w:t>T</w:t>
    </w:r>
    <w:r w:rsidRPr="002F33CD">
      <w:t xml:space="preserve">  </w:t>
    </w:r>
    <w:r>
      <w:t>0207</w:t>
    </w:r>
    <w:proofErr w:type="gramEnd"/>
    <w:r>
      <w:t>-092-3943</w:t>
    </w:r>
    <w:r w:rsidRPr="002F33CD">
      <w:t xml:space="preserve">  |  </w:t>
    </w:r>
    <w:r w:rsidRPr="005B5A1E">
      <w:rPr>
        <w:rStyle w:val="LawWsFooterBold"/>
      </w:rPr>
      <w:t>E</w:t>
    </w:r>
    <w:r w:rsidRPr="002F33CD">
      <w:t xml:space="preserve">  </w:t>
    </w:r>
    <w:r>
      <w:t>james.sandbach</w:t>
    </w:r>
    <w:r w:rsidRPr="002F33CD">
      <w:t xml:space="preserve">@lawworks.org.uk  |  </w:t>
    </w:r>
    <w:r w:rsidRPr="005B5A1E">
      <w:rPr>
        <w:rStyle w:val="LawWsFooterBold"/>
      </w:rPr>
      <w:t>W</w:t>
    </w:r>
    <w:r w:rsidRPr="002F33CD">
      <w:t xml:space="preserve">  lawworks.org.uk</w:t>
    </w:r>
  </w:p>
  <w:p w14:paraId="5BB5766C" w14:textId="77777777" w:rsidR="005C5380" w:rsidRDefault="005C53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44165" w14:textId="77777777" w:rsidR="00B65C62" w:rsidRDefault="00B65C62" w:rsidP="00F9352D">
      <w:r>
        <w:separator/>
      </w:r>
    </w:p>
  </w:footnote>
  <w:footnote w:type="continuationSeparator" w:id="0">
    <w:p w14:paraId="1F31A0D7" w14:textId="77777777" w:rsidR="00B65C62" w:rsidRDefault="00B65C62" w:rsidP="00F93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2D7B2" w14:textId="77777777" w:rsidR="005C5380" w:rsidRDefault="005C5380">
    <w:r>
      <w:rPr>
        <w:noProof/>
        <w:lang w:eastAsia="en-GB"/>
      </w:rPr>
      <w:drawing>
        <wp:anchor distT="0" distB="0" distL="114300" distR="114300" simplePos="0" relativeHeight="251660288" behindDoc="1" locked="0" layoutInCell="1" allowOverlap="1" wp14:anchorId="4CCB0414" wp14:editId="236857D2">
          <wp:simplePos x="0" y="0"/>
          <wp:positionH relativeFrom="page">
            <wp:posOffset>107950</wp:posOffset>
          </wp:positionH>
          <wp:positionV relativeFrom="page">
            <wp:posOffset>107950</wp:posOffset>
          </wp:positionV>
          <wp:extent cx="7352833" cy="1620000"/>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W0018_Basic Template_Clinics_Header.jpg"/>
                  <pic:cNvPicPr/>
                </pic:nvPicPr>
                <pic:blipFill>
                  <a:blip r:embed="rId1">
                    <a:extLst>
                      <a:ext uri="{28A0092B-C50C-407E-A947-70E740481C1C}">
                        <a14:useLocalDpi xmlns:a14="http://schemas.microsoft.com/office/drawing/2010/main" val="0"/>
                      </a:ext>
                    </a:extLst>
                  </a:blip>
                  <a:stretch>
                    <a:fillRect/>
                  </a:stretch>
                </pic:blipFill>
                <pic:spPr>
                  <a:xfrm>
                    <a:off x="0" y="0"/>
                    <a:ext cx="7352833" cy="162000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5="http://schemas.microsoft.com/office/word/2012/wordml" xmlns:w16se="http://schemas.microsoft.com/office/word/2015/wordml/symex"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70A6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0AC1C"/>
    <w:lvl w:ilvl="0">
      <w:start w:val="1"/>
      <w:numFmt w:val="decimal"/>
      <w:lvlText w:val="%1."/>
      <w:lvlJc w:val="left"/>
      <w:pPr>
        <w:tabs>
          <w:tab w:val="num" w:pos="1492"/>
        </w:tabs>
        <w:ind w:left="1492" w:hanging="360"/>
      </w:pPr>
    </w:lvl>
  </w:abstractNum>
  <w:abstractNum w:abstractNumId="2">
    <w:nsid w:val="FFFFFF7D"/>
    <w:multiLevelType w:val="singleLevel"/>
    <w:tmpl w:val="87BC9CD0"/>
    <w:lvl w:ilvl="0">
      <w:start w:val="1"/>
      <w:numFmt w:val="decimal"/>
      <w:lvlText w:val="%1."/>
      <w:lvlJc w:val="left"/>
      <w:pPr>
        <w:tabs>
          <w:tab w:val="num" w:pos="1209"/>
        </w:tabs>
        <w:ind w:left="1209" w:hanging="360"/>
      </w:pPr>
    </w:lvl>
  </w:abstractNum>
  <w:abstractNum w:abstractNumId="3">
    <w:nsid w:val="FFFFFF7E"/>
    <w:multiLevelType w:val="singleLevel"/>
    <w:tmpl w:val="4116681C"/>
    <w:lvl w:ilvl="0">
      <w:start w:val="1"/>
      <w:numFmt w:val="decimal"/>
      <w:lvlText w:val="%1."/>
      <w:lvlJc w:val="left"/>
      <w:pPr>
        <w:tabs>
          <w:tab w:val="num" w:pos="926"/>
        </w:tabs>
        <w:ind w:left="926" w:hanging="360"/>
      </w:pPr>
    </w:lvl>
  </w:abstractNum>
  <w:abstractNum w:abstractNumId="4">
    <w:nsid w:val="FFFFFF7F"/>
    <w:multiLevelType w:val="singleLevel"/>
    <w:tmpl w:val="3BBAB320"/>
    <w:lvl w:ilvl="0">
      <w:start w:val="1"/>
      <w:numFmt w:val="decimal"/>
      <w:lvlText w:val="%1."/>
      <w:lvlJc w:val="left"/>
      <w:pPr>
        <w:tabs>
          <w:tab w:val="num" w:pos="643"/>
        </w:tabs>
        <w:ind w:left="643" w:hanging="360"/>
      </w:pPr>
    </w:lvl>
  </w:abstractNum>
  <w:abstractNum w:abstractNumId="5">
    <w:nsid w:val="FFFFFF80"/>
    <w:multiLevelType w:val="singleLevel"/>
    <w:tmpl w:val="D326D3B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49582EE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994B70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F10682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9F0B4B6"/>
    <w:lvl w:ilvl="0">
      <w:start w:val="1"/>
      <w:numFmt w:val="decimal"/>
      <w:lvlText w:val="%1."/>
      <w:lvlJc w:val="left"/>
      <w:pPr>
        <w:tabs>
          <w:tab w:val="num" w:pos="360"/>
        </w:tabs>
        <w:ind w:left="360" w:hanging="360"/>
      </w:pPr>
    </w:lvl>
  </w:abstractNum>
  <w:abstractNum w:abstractNumId="10">
    <w:nsid w:val="FFFFFF89"/>
    <w:multiLevelType w:val="singleLevel"/>
    <w:tmpl w:val="806E87BC"/>
    <w:lvl w:ilvl="0">
      <w:start w:val="1"/>
      <w:numFmt w:val="bullet"/>
      <w:lvlText w:val=""/>
      <w:lvlJc w:val="left"/>
      <w:pPr>
        <w:tabs>
          <w:tab w:val="num" w:pos="360"/>
        </w:tabs>
        <w:ind w:left="360" w:hanging="360"/>
      </w:pPr>
      <w:rPr>
        <w:rFonts w:ascii="Symbol" w:hAnsi="Symbol" w:hint="default"/>
      </w:rPr>
    </w:lvl>
  </w:abstractNum>
  <w:abstractNum w:abstractNumId="11">
    <w:nsid w:val="05414911"/>
    <w:multiLevelType w:val="hybridMultilevel"/>
    <w:tmpl w:val="8F12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30287D"/>
    <w:multiLevelType w:val="hybridMultilevel"/>
    <w:tmpl w:val="0E36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A26868"/>
    <w:multiLevelType w:val="multilevel"/>
    <w:tmpl w:val="4DBC72E6"/>
    <w:lvl w:ilvl="0">
      <w:start w:val="1"/>
      <w:numFmt w:val="bullet"/>
      <w:lvlText w:val=""/>
      <w:lvlJc w:val="left"/>
      <w:pPr>
        <w:tabs>
          <w:tab w:val="num" w:pos="284"/>
        </w:tabs>
        <w:ind w:left="284" w:hanging="114"/>
      </w:pPr>
      <w:rPr>
        <w:rFonts w:ascii="Symbol" w:hAnsi="Symbol" w:hint="default"/>
        <w:b w:val="0"/>
        <w:bCs w:val="0"/>
        <w:i w:val="0"/>
        <w:iCs w:val="0"/>
        <w:color w:val="auto"/>
        <w:sz w:val="18"/>
        <w:szCs w:val="18"/>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F877D89"/>
    <w:multiLevelType w:val="hybridMultilevel"/>
    <w:tmpl w:val="93E4F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3E0115"/>
    <w:multiLevelType w:val="hybridMultilevel"/>
    <w:tmpl w:val="45262DA4"/>
    <w:lvl w:ilvl="0" w:tplc="EF009062">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9200BB"/>
    <w:multiLevelType w:val="hybridMultilevel"/>
    <w:tmpl w:val="EB50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442129"/>
    <w:multiLevelType w:val="hybridMultilevel"/>
    <w:tmpl w:val="AC8AB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743AF8"/>
    <w:multiLevelType w:val="multilevel"/>
    <w:tmpl w:val="DA04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AA6BC8"/>
    <w:multiLevelType w:val="hybridMultilevel"/>
    <w:tmpl w:val="2F9CBFD2"/>
    <w:lvl w:ilvl="0" w:tplc="49605336">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5557AC"/>
    <w:multiLevelType w:val="hybridMultilevel"/>
    <w:tmpl w:val="772AE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37F68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5795777"/>
    <w:multiLevelType w:val="hybridMultilevel"/>
    <w:tmpl w:val="5EF09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1B5291"/>
    <w:multiLevelType w:val="hybridMultilevel"/>
    <w:tmpl w:val="A40CF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61A4885"/>
    <w:multiLevelType w:val="hybridMultilevel"/>
    <w:tmpl w:val="C578327E"/>
    <w:lvl w:ilvl="0" w:tplc="52C6EB42">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3D10FD"/>
    <w:multiLevelType w:val="multilevel"/>
    <w:tmpl w:val="D4766FA6"/>
    <w:lvl w:ilvl="0">
      <w:start w:val="1"/>
      <w:numFmt w:val="bullet"/>
      <w:lvlText w:val=""/>
      <w:lvlJc w:val="left"/>
      <w:pPr>
        <w:tabs>
          <w:tab w:val="num" w:pos="397"/>
        </w:tabs>
        <w:ind w:left="397" w:hanging="113"/>
      </w:pPr>
      <w:rPr>
        <w:rFonts w:ascii="Symbol" w:hAnsi="Symbol" w:hint="default"/>
        <w:b w:val="0"/>
        <w:bCs w:val="0"/>
        <w:i w:val="0"/>
        <w:iCs w:val="0"/>
        <w:color w:val="auto"/>
        <w:sz w:val="18"/>
        <w:szCs w:val="18"/>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65631C2"/>
    <w:multiLevelType w:val="hybridMultilevel"/>
    <w:tmpl w:val="5C300EBE"/>
    <w:lvl w:ilvl="0" w:tplc="43A0E376">
      <w:start w:val="1"/>
      <w:numFmt w:val="bullet"/>
      <w:lvlText w:val=""/>
      <w:lvlJc w:val="left"/>
      <w:pPr>
        <w:ind w:left="720" w:hanging="66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C020D5"/>
    <w:multiLevelType w:val="hybridMultilevel"/>
    <w:tmpl w:val="B7EECCF8"/>
    <w:lvl w:ilvl="0" w:tplc="32B841F4">
      <w:start w:val="1"/>
      <w:numFmt w:val="bullet"/>
      <w:pStyle w:val="LawWsBulletStyle"/>
      <w:lvlText w:val=""/>
      <w:lvlJc w:val="left"/>
      <w:pPr>
        <w:tabs>
          <w:tab w:val="num" w:pos="170"/>
        </w:tabs>
        <w:ind w:left="170" w:hanging="170"/>
      </w:pPr>
      <w:rPr>
        <w:rFonts w:ascii="Symbol" w:hAnsi="Symbol" w:hint="default"/>
        <w:b w:val="0"/>
        <w:bCs w:val="0"/>
        <w:i w:val="0"/>
        <w:iCs w:val="0"/>
        <w:color w:val="auto"/>
        <w:sz w:val="18"/>
        <w:szCs w:val="18"/>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FD6EA7"/>
    <w:multiLevelType w:val="hybridMultilevel"/>
    <w:tmpl w:val="9AB823A6"/>
    <w:lvl w:ilvl="0" w:tplc="7DBE5658">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CA055C"/>
    <w:multiLevelType w:val="hybridMultilevel"/>
    <w:tmpl w:val="E5768612"/>
    <w:lvl w:ilvl="0" w:tplc="48AEA088">
      <w:start w:val="1"/>
      <w:numFmt w:val="decimal"/>
      <w:lvlText w:val="%1"/>
      <w:lvlJc w:val="left"/>
      <w:pPr>
        <w:tabs>
          <w:tab w:val="num" w:pos="1080"/>
        </w:tabs>
        <w:ind w:left="1080" w:hanging="720"/>
      </w:pPr>
    </w:lvl>
    <w:lvl w:ilvl="1" w:tplc="FADC80AE">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0">
    <w:nsid w:val="6EBD1DCA"/>
    <w:multiLevelType w:val="hybridMultilevel"/>
    <w:tmpl w:val="0F384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6197391"/>
    <w:multiLevelType w:val="hybridMultilevel"/>
    <w:tmpl w:val="B862F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B0E267E"/>
    <w:multiLevelType w:val="hybridMultilevel"/>
    <w:tmpl w:val="E7AC422A"/>
    <w:lvl w:ilvl="0" w:tplc="C2A48E78">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6"/>
  </w:num>
  <w:num w:numId="4">
    <w:abstractNumId w:val="24"/>
  </w:num>
  <w:num w:numId="5">
    <w:abstractNumId w:val="32"/>
  </w:num>
  <w:num w:numId="6">
    <w:abstractNumId w:val="28"/>
  </w:num>
  <w:num w:numId="7">
    <w:abstractNumId w:val="15"/>
  </w:num>
  <w:num w:numId="8">
    <w:abstractNumId w:val="19"/>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0"/>
  </w:num>
  <w:num w:numId="20">
    <w:abstractNumId w:val="27"/>
  </w:num>
  <w:num w:numId="21">
    <w:abstractNumId w:val="21"/>
  </w:num>
  <w:num w:numId="22">
    <w:abstractNumId w:val="25"/>
  </w:num>
  <w:num w:numId="23">
    <w:abstractNumId w:val="13"/>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20"/>
  </w:num>
  <w:num w:numId="27">
    <w:abstractNumId w:val="16"/>
  </w:num>
  <w:num w:numId="28">
    <w:abstractNumId w:val="17"/>
  </w:num>
  <w:num w:numId="29">
    <w:abstractNumId w:val="31"/>
  </w:num>
  <w:num w:numId="30">
    <w:abstractNumId w:val="18"/>
  </w:num>
  <w:num w:numId="31">
    <w:abstractNumId w:val="30"/>
  </w:num>
  <w:num w:numId="32">
    <w:abstractNumId w:val="23"/>
  </w:num>
  <w:num w:numId="33">
    <w:abstractNumId w:val="14"/>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ublishingViewTables" w:val="0"/>
  </w:docVars>
  <w:rsids>
    <w:rsidRoot w:val="00F71AB5"/>
    <w:rsid w:val="00006BC8"/>
    <w:rsid w:val="00006EF9"/>
    <w:rsid w:val="000273E6"/>
    <w:rsid w:val="000419C4"/>
    <w:rsid w:val="00047C5D"/>
    <w:rsid w:val="00051FC6"/>
    <w:rsid w:val="000615F7"/>
    <w:rsid w:val="000659AF"/>
    <w:rsid w:val="00071A4C"/>
    <w:rsid w:val="00071E53"/>
    <w:rsid w:val="00083223"/>
    <w:rsid w:val="00083354"/>
    <w:rsid w:val="000A789A"/>
    <w:rsid w:val="000B42EE"/>
    <w:rsid w:val="000D5492"/>
    <w:rsid w:val="000F0F88"/>
    <w:rsid w:val="000F5559"/>
    <w:rsid w:val="0010794C"/>
    <w:rsid w:val="00122653"/>
    <w:rsid w:val="001249EA"/>
    <w:rsid w:val="001466A3"/>
    <w:rsid w:val="00170690"/>
    <w:rsid w:val="00172680"/>
    <w:rsid w:val="001B7FF2"/>
    <w:rsid w:val="001F5508"/>
    <w:rsid w:val="002101D6"/>
    <w:rsid w:val="00220620"/>
    <w:rsid w:val="002262CD"/>
    <w:rsid w:val="00234B5A"/>
    <w:rsid w:val="00245DF3"/>
    <w:rsid w:val="00257DD6"/>
    <w:rsid w:val="00263954"/>
    <w:rsid w:val="00264C3F"/>
    <w:rsid w:val="00265C5B"/>
    <w:rsid w:val="00287F22"/>
    <w:rsid w:val="002B1D40"/>
    <w:rsid w:val="002C7717"/>
    <w:rsid w:val="002D36D5"/>
    <w:rsid w:val="002D3EB1"/>
    <w:rsid w:val="002E1D28"/>
    <w:rsid w:val="002F33CD"/>
    <w:rsid w:val="002F554E"/>
    <w:rsid w:val="0030622A"/>
    <w:rsid w:val="00310350"/>
    <w:rsid w:val="00316922"/>
    <w:rsid w:val="003274AD"/>
    <w:rsid w:val="00332A3F"/>
    <w:rsid w:val="003425B3"/>
    <w:rsid w:val="003529E0"/>
    <w:rsid w:val="00357944"/>
    <w:rsid w:val="00361B03"/>
    <w:rsid w:val="00361C01"/>
    <w:rsid w:val="00364C9F"/>
    <w:rsid w:val="00372A4F"/>
    <w:rsid w:val="003821A5"/>
    <w:rsid w:val="003B10DE"/>
    <w:rsid w:val="003D1470"/>
    <w:rsid w:val="003D7944"/>
    <w:rsid w:val="00406324"/>
    <w:rsid w:val="0040640B"/>
    <w:rsid w:val="004204AC"/>
    <w:rsid w:val="00436433"/>
    <w:rsid w:val="004369C4"/>
    <w:rsid w:val="00436FAA"/>
    <w:rsid w:val="004517BB"/>
    <w:rsid w:val="004659F0"/>
    <w:rsid w:val="0047401C"/>
    <w:rsid w:val="00487E0F"/>
    <w:rsid w:val="0049476E"/>
    <w:rsid w:val="004A5CBC"/>
    <w:rsid w:val="004C1D44"/>
    <w:rsid w:val="004D2FE3"/>
    <w:rsid w:val="00506ACE"/>
    <w:rsid w:val="00515307"/>
    <w:rsid w:val="005262F5"/>
    <w:rsid w:val="0052649D"/>
    <w:rsid w:val="00544327"/>
    <w:rsid w:val="005448F8"/>
    <w:rsid w:val="00581F5A"/>
    <w:rsid w:val="00592C5D"/>
    <w:rsid w:val="005B297B"/>
    <w:rsid w:val="005B5A1E"/>
    <w:rsid w:val="005C1BE2"/>
    <w:rsid w:val="005C2238"/>
    <w:rsid w:val="005C3280"/>
    <w:rsid w:val="005C3DEF"/>
    <w:rsid w:val="005C5380"/>
    <w:rsid w:val="005C60AB"/>
    <w:rsid w:val="005D1249"/>
    <w:rsid w:val="005D785B"/>
    <w:rsid w:val="005E2CE9"/>
    <w:rsid w:val="005F20A1"/>
    <w:rsid w:val="005F47CC"/>
    <w:rsid w:val="006058C1"/>
    <w:rsid w:val="006169BD"/>
    <w:rsid w:val="00642361"/>
    <w:rsid w:val="0064337C"/>
    <w:rsid w:val="00657D34"/>
    <w:rsid w:val="006669C6"/>
    <w:rsid w:val="006708B9"/>
    <w:rsid w:val="00685A7E"/>
    <w:rsid w:val="00686192"/>
    <w:rsid w:val="00693B30"/>
    <w:rsid w:val="006A01EC"/>
    <w:rsid w:val="006A0E76"/>
    <w:rsid w:val="007005A2"/>
    <w:rsid w:val="00703A04"/>
    <w:rsid w:val="00720490"/>
    <w:rsid w:val="0072341F"/>
    <w:rsid w:val="00726C1A"/>
    <w:rsid w:val="00740AC1"/>
    <w:rsid w:val="00777F8C"/>
    <w:rsid w:val="007803AA"/>
    <w:rsid w:val="00787A0F"/>
    <w:rsid w:val="00791969"/>
    <w:rsid w:val="007974CF"/>
    <w:rsid w:val="007A0183"/>
    <w:rsid w:val="007E2534"/>
    <w:rsid w:val="008057D8"/>
    <w:rsid w:val="00807E84"/>
    <w:rsid w:val="00813301"/>
    <w:rsid w:val="00815E97"/>
    <w:rsid w:val="008163EE"/>
    <w:rsid w:val="00816ECE"/>
    <w:rsid w:val="008318DC"/>
    <w:rsid w:val="0083709F"/>
    <w:rsid w:val="008379D0"/>
    <w:rsid w:val="008629BF"/>
    <w:rsid w:val="00873474"/>
    <w:rsid w:val="008763C8"/>
    <w:rsid w:val="00884545"/>
    <w:rsid w:val="008B7AB9"/>
    <w:rsid w:val="008D496E"/>
    <w:rsid w:val="008D689B"/>
    <w:rsid w:val="00933167"/>
    <w:rsid w:val="00945E47"/>
    <w:rsid w:val="00946B01"/>
    <w:rsid w:val="00946EAC"/>
    <w:rsid w:val="00956B92"/>
    <w:rsid w:val="00960D63"/>
    <w:rsid w:val="00974D73"/>
    <w:rsid w:val="009B274A"/>
    <w:rsid w:val="009B2CBB"/>
    <w:rsid w:val="009C31BE"/>
    <w:rsid w:val="009C7DFE"/>
    <w:rsid w:val="009E3FCE"/>
    <w:rsid w:val="009E7E5F"/>
    <w:rsid w:val="00A002A4"/>
    <w:rsid w:val="00A144B6"/>
    <w:rsid w:val="00A353EF"/>
    <w:rsid w:val="00A36EB5"/>
    <w:rsid w:val="00A639B3"/>
    <w:rsid w:val="00A63E91"/>
    <w:rsid w:val="00A67A54"/>
    <w:rsid w:val="00A72F66"/>
    <w:rsid w:val="00AA0F20"/>
    <w:rsid w:val="00AC191D"/>
    <w:rsid w:val="00AD0C80"/>
    <w:rsid w:val="00AD1E2A"/>
    <w:rsid w:val="00AD2B76"/>
    <w:rsid w:val="00AF7530"/>
    <w:rsid w:val="00B23EC5"/>
    <w:rsid w:val="00B2516F"/>
    <w:rsid w:val="00B31369"/>
    <w:rsid w:val="00B32242"/>
    <w:rsid w:val="00B43E37"/>
    <w:rsid w:val="00B4662A"/>
    <w:rsid w:val="00B473D7"/>
    <w:rsid w:val="00B529D1"/>
    <w:rsid w:val="00B65C62"/>
    <w:rsid w:val="00B85512"/>
    <w:rsid w:val="00B86842"/>
    <w:rsid w:val="00B91B48"/>
    <w:rsid w:val="00B97314"/>
    <w:rsid w:val="00BA3B1E"/>
    <w:rsid w:val="00BB0D41"/>
    <w:rsid w:val="00BB5F09"/>
    <w:rsid w:val="00BD17ED"/>
    <w:rsid w:val="00BD63CE"/>
    <w:rsid w:val="00BE36C9"/>
    <w:rsid w:val="00C16346"/>
    <w:rsid w:val="00C163A3"/>
    <w:rsid w:val="00C26BC2"/>
    <w:rsid w:val="00C32080"/>
    <w:rsid w:val="00C422A8"/>
    <w:rsid w:val="00C45AB7"/>
    <w:rsid w:val="00C72EDC"/>
    <w:rsid w:val="00C7511E"/>
    <w:rsid w:val="00C82C97"/>
    <w:rsid w:val="00CA681B"/>
    <w:rsid w:val="00CB1AA0"/>
    <w:rsid w:val="00CB5C1D"/>
    <w:rsid w:val="00CB65F8"/>
    <w:rsid w:val="00CD5643"/>
    <w:rsid w:val="00CD671C"/>
    <w:rsid w:val="00CE281A"/>
    <w:rsid w:val="00CF67BE"/>
    <w:rsid w:val="00D03A91"/>
    <w:rsid w:val="00D14AC8"/>
    <w:rsid w:val="00D21612"/>
    <w:rsid w:val="00D462D0"/>
    <w:rsid w:val="00D62D12"/>
    <w:rsid w:val="00D660A9"/>
    <w:rsid w:val="00D742B7"/>
    <w:rsid w:val="00D87326"/>
    <w:rsid w:val="00D97526"/>
    <w:rsid w:val="00DC10B8"/>
    <w:rsid w:val="00DD39BE"/>
    <w:rsid w:val="00E0713E"/>
    <w:rsid w:val="00E11CE1"/>
    <w:rsid w:val="00E226E9"/>
    <w:rsid w:val="00E27923"/>
    <w:rsid w:val="00E35916"/>
    <w:rsid w:val="00E47BA2"/>
    <w:rsid w:val="00E75E0E"/>
    <w:rsid w:val="00E84803"/>
    <w:rsid w:val="00E90997"/>
    <w:rsid w:val="00EB1C54"/>
    <w:rsid w:val="00EB6A39"/>
    <w:rsid w:val="00EB730C"/>
    <w:rsid w:val="00EC3620"/>
    <w:rsid w:val="00ED1E2F"/>
    <w:rsid w:val="00ED659F"/>
    <w:rsid w:val="00F0299C"/>
    <w:rsid w:val="00F108DA"/>
    <w:rsid w:val="00F132F3"/>
    <w:rsid w:val="00F14BEA"/>
    <w:rsid w:val="00F15C7A"/>
    <w:rsid w:val="00F27029"/>
    <w:rsid w:val="00F31D9A"/>
    <w:rsid w:val="00F34325"/>
    <w:rsid w:val="00F40E4E"/>
    <w:rsid w:val="00F46E89"/>
    <w:rsid w:val="00F71AB5"/>
    <w:rsid w:val="00F87BF8"/>
    <w:rsid w:val="00F93029"/>
    <w:rsid w:val="00F9352D"/>
    <w:rsid w:val="00FA0EBD"/>
    <w:rsid w:val="00FA39A8"/>
    <w:rsid w:val="00FB3E2F"/>
    <w:rsid w:val="00FE5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1B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LawWs Body Copy"/>
    <w:qFormat/>
    <w:rsid w:val="0083709F"/>
    <w:pPr>
      <w:spacing w:line="220" w:lineRule="exact"/>
    </w:pPr>
    <w:rPr>
      <w:rFonts w:ascii="Arial" w:hAnsi="Arial"/>
      <w:sz w:val="22"/>
      <w:szCs w:val="18"/>
    </w:rPr>
  </w:style>
  <w:style w:type="paragraph" w:styleId="Heading1">
    <w:name w:val="heading 1"/>
    <w:aliases w:val="Heading"/>
    <w:basedOn w:val="Normal"/>
    <w:next w:val="Normal"/>
    <w:link w:val="Heading1Char"/>
    <w:uiPriority w:val="9"/>
    <w:rsid w:val="009B274A"/>
    <w:pPr>
      <w:spacing w:after="40"/>
      <w:outlineLvl w:val="0"/>
    </w:pPr>
    <w:rPr>
      <w:rFonts w:ascii="Verdana" w:eastAsiaTheme="majorEastAsia" w:hAnsi="Verdana" w:cstheme="majorBidi"/>
      <w:b/>
      <w:bCs/>
      <w:color w:val="0088C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9B274A"/>
    <w:rPr>
      <w:rFonts w:ascii="Verdana" w:eastAsiaTheme="majorEastAsia" w:hAnsi="Verdana" w:cstheme="majorBidi"/>
      <w:b/>
      <w:bCs/>
      <w:color w:val="0088C5"/>
      <w:sz w:val="22"/>
      <w:szCs w:val="22"/>
    </w:rPr>
  </w:style>
  <w:style w:type="paragraph" w:styleId="BalloonText">
    <w:name w:val="Balloon Text"/>
    <w:basedOn w:val="Normal"/>
    <w:link w:val="BalloonTextChar"/>
    <w:uiPriority w:val="99"/>
    <w:semiHidden/>
    <w:unhideWhenUsed/>
    <w:rsid w:val="00F9352D"/>
    <w:rPr>
      <w:rFonts w:ascii="Lucida Grande" w:hAnsi="Lucida Grande" w:cs="Lucida Grande"/>
    </w:rPr>
  </w:style>
  <w:style w:type="character" w:customStyle="1" w:styleId="BalloonTextChar">
    <w:name w:val="Balloon Text Char"/>
    <w:basedOn w:val="DefaultParagraphFont"/>
    <w:link w:val="BalloonText"/>
    <w:uiPriority w:val="99"/>
    <w:semiHidden/>
    <w:rsid w:val="00F9352D"/>
    <w:rPr>
      <w:rFonts w:ascii="Lucida Grande" w:hAnsi="Lucida Grande" w:cs="Lucida Grande"/>
      <w:sz w:val="18"/>
      <w:szCs w:val="18"/>
    </w:rPr>
  </w:style>
  <w:style w:type="paragraph" w:customStyle="1" w:styleId="FooterBold">
    <w:name w:val="Footer Bold"/>
    <w:basedOn w:val="Normal"/>
    <w:uiPriority w:val="99"/>
    <w:rsid w:val="009B274A"/>
    <w:pPr>
      <w:widowControl w:val="0"/>
      <w:autoSpaceDE w:val="0"/>
      <w:autoSpaceDN w:val="0"/>
      <w:adjustRightInd w:val="0"/>
      <w:spacing w:line="288" w:lineRule="auto"/>
      <w:textAlignment w:val="center"/>
    </w:pPr>
    <w:rPr>
      <w:rFonts w:cs="MinionPro-Regular"/>
      <w:b/>
      <w:color w:val="000000"/>
      <w:sz w:val="16"/>
    </w:rPr>
  </w:style>
  <w:style w:type="paragraph" w:styleId="ListParagraph">
    <w:name w:val="List Paragraph"/>
    <w:basedOn w:val="Normal"/>
    <w:uiPriority w:val="34"/>
    <w:rsid w:val="00BB5F09"/>
    <w:pPr>
      <w:ind w:left="720"/>
      <w:contextualSpacing/>
    </w:pPr>
  </w:style>
  <w:style w:type="character" w:styleId="Hyperlink">
    <w:name w:val="Hyperlink"/>
    <w:basedOn w:val="DefaultParagraphFont"/>
    <w:uiPriority w:val="99"/>
    <w:unhideWhenUsed/>
    <w:rsid w:val="000A789A"/>
    <w:rPr>
      <w:color w:val="B0347A" w:themeColor="hyperlink"/>
      <w:u w:val="single"/>
    </w:rPr>
  </w:style>
  <w:style w:type="paragraph" w:customStyle="1" w:styleId="LawWsStandfirstCopy">
    <w:name w:val="LawWs Standfirst Copy"/>
    <w:qFormat/>
    <w:rsid w:val="0083709F"/>
    <w:pPr>
      <w:spacing w:line="300" w:lineRule="exact"/>
    </w:pPr>
    <w:rPr>
      <w:rFonts w:ascii="Arial" w:hAnsi="Arial"/>
      <w:sz w:val="26"/>
      <w:szCs w:val="22"/>
    </w:rPr>
  </w:style>
  <w:style w:type="paragraph" w:customStyle="1" w:styleId="LawWsParagraphHeading">
    <w:name w:val="LawWs Paragraph Heading"/>
    <w:qFormat/>
    <w:rsid w:val="0083709F"/>
    <w:pPr>
      <w:spacing w:after="60" w:line="300" w:lineRule="exact"/>
    </w:pPr>
    <w:rPr>
      <w:rFonts w:ascii="Verdana" w:hAnsi="Verdana"/>
      <w:b/>
      <w:bCs/>
      <w:color w:val="0086C1" w:themeColor="accent3"/>
      <w:sz w:val="26"/>
      <w:szCs w:val="22"/>
    </w:rPr>
  </w:style>
  <w:style w:type="paragraph" w:styleId="NormalWeb">
    <w:name w:val="Normal (Web)"/>
    <w:basedOn w:val="Normal"/>
    <w:uiPriority w:val="99"/>
    <w:semiHidden/>
    <w:unhideWhenUsed/>
    <w:rsid w:val="00A67A54"/>
    <w:pPr>
      <w:spacing w:before="100" w:beforeAutospacing="1" w:after="100" w:afterAutospacing="1" w:line="240" w:lineRule="auto"/>
    </w:pPr>
    <w:rPr>
      <w:rFonts w:ascii="Times" w:hAnsi="Times" w:cs="Times New Roman"/>
      <w:sz w:val="20"/>
      <w:szCs w:val="20"/>
    </w:rPr>
  </w:style>
  <w:style w:type="paragraph" w:customStyle="1" w:styleId="LawWsBulletStyle">
    <w:name w:val="LawWs Bullet Style"/>
    <w:qFormat/>
    <w:rsid w:val="0083709F"/>
    <w:pPr>
      <w:numPr>
        <w:numId w:val="20"/>
      </w:numPr>
      <w:spacing w:after="60" w:line="280" w:lineRule="exact"/>
    </w:pPr>
    <w:rPr>
      <w:rFonts w:ascii="Arial" w:hAnsi="Arial"/>
      <w:sz w:val="22"/>
      <w:szCs w:val="18"/>
    </w:rPr>
  </w:style>
  <w:style w:type="paragraph" w:customStyle="1" w:styleId="LawWsDocumentTitleWhite">
    <w:name w:val="LawWs Document Title White"/>
    <w:qFormat/>
    <w:rsid w:val="00D660A9"/>
    <w:pPr>
      <w:spacing w:line="480" w:lineRule="exact"/>
    </w:pPr>
    <w:rPr>
      <w:rFonts w:ascii="Verdana" w:hAnsi="Verdana"/>
      <w:b/>
      <w:bCs/>
      <w:color w:val="0086C1" w:themeColor="accent3"/>
      <w:sz w:val="48"/>
      <w:szCs w:val="48"/>
    </w:rPr>
  </w:style>
  <w:style w:type="paragraph" w:styleId="Header">
    <w:name w:val="header"/>
    <w:basedOn w:val="Normal"/>
    <w:link w:val="HeaderChar"/>
    <w:uiPriority w:val="99"/>
    <w:unhideWhenUsed/>
    <w:rsid w:val="002F33CD"/>
    <w:pPr>
      <w:tabs>
        <w:tab w:val="center" w:pos="4320"/>
        <w:tab w:val="right" w:pos="8640"/>
      </w:tabs>
      <w:spacing w:line="240" w:lineRule="auto"/>
    </w:pPr>
  </w:style>
  <w:style w:type="character" w:customStyle="1" w:styleId="HeaderChar">
    <w:name w:val="Header Char"/>
    <w:basedOn w:val="DefaultParagraphFont"/>
    <w:link w:val="Header"/>
    <w:uiPriority w:val="99"/>
    <w:rsid w:val="002F33CD"/>
    <w:rPr>
      <w:rFonts w:ascii="Arial" w:hAnsi="Arial"/>
      <w:sz w:val="18"/>
      <w:szCs w:val="18"/>
    </w:rPr>
  </w:style>
  <w:style w:type="paragraph" w:customStyle="1" w:styleId="LawWsFooterRegular">
    <w:name w:val="LawWs Footer Regular"/>
    <w:qFormat/>
    <w:rsid w:val="002F33CD"/>
    <w:pPr>
      <w:spacing w:line="200" w:lineRule="exact"/>
    </w:pPr>
    <w:rPr>
      <w:rFonts w:ascii="Arial" w:hAnsi="Arial" w:cs="Arial"/>
      <w:sz w:val="16"/>
      <w:szCs w:val="16"/>
    </w:rPr>
  </w:style>
  <w:style w:type="character" w:customStyle="1" w:styleId="LawWsFooterBold">
    <w:name w:val="LawWs Footer Bold"/>
    <w:uiPriority w:val="1"/>
    <w:qFormat/>
    <w:rsid w:val="005F20A1"/>
    <w:rPr>
      <w:rFonts w:ascii="Arial" w:hAnsi="Arial" w:cs="Arial"/>
      <w:b/>
      <w:bCs/>
      <w:i w:val="0"/>
      <w:iCs w:val="0"/>
      <w:color w:val="0086C1" w:themeColor="accent3"/>
      <w:spacing w:val="0"/>
      <w:w w:val="100"/>
      <w:position w:val="0"/>
      <w:sz w:val="16"/>
      <w:szCs w:val="16"/>
      <w:u w:val="none"/>
    </w:rPr>
  </w:style>
  <w:style w:type="paragraph" w:styleId="Footer">
    <w:name w:val="footer"/>
    <w:basedOn w:val="Normal"/>
    <w:link w:val="FooterChar"/>
    <w:uiPriority w:val="99"/>
    <w:unhideWhenUsed/>
    <w:rsid w:val="00F0299C"/>
    <w:pPr>
      <w:tabs>
        <w:tab w:val="center" w:pos="4320"/>
        <w:tab w:val="right" w:pos="8640"/>
      </w:tabs>
      <w:spacing w:line="240" w:lineRule="auto"/>
    </w:pPr>
  </w:style>
  <w:style w:type="character" w:customStyle="1" w:styleId="FooterChar">
    <w:name w:val="Footer Char"/>
    <w:basedOn w:val="DefaultParagraphFont"/>
    <w:link w:val="Footer"/>
    <w:uiPriority w:val="99"/>
    <w:rsid w:val="00F0299C"/>
    <w:rPr>
      <w:rFonts w:ascii="Arial" w:hAnsi="Arial"/>
      <w:sz w:val="18"/>
      <w:szCs w:val="18"/>
    </w:rPr>
  </w:style>
  <w:style w:type="table" w:styleId="TableGrid">
    <w:name w:val="Table Grid"/>
    <w:basedOn w:val="TableNormal"/>
    <w:uiPriority w:val="59"/>
    <w:rsid w:val="00F02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wWsPullOuttitleWhite">
    <w:name w:val="LawWs Pull Out title White"/>
    <w:qFormat/>
    <w:rsid w:val="00945E47"/>
    <w:pPr>
      <w:spacing w:after="60" w:line="280" w:lineRule="exact"/>
    </w:pPr>
    <w:rPr>
      <w:rFonts w:ascii="Verdana" w:hAnsi="Verdana"/>
      <w:b/>
      <w:bCs/>
      <w:color w:val="FFFFFE" w:themeColor="background1"/>
      <w:sz w:val="26"/>
      <w:szCs w:val="26"/>
    </w:rPr>
  </w:style>
  <w:style w:type="paragraph" w:customStyle="1" w:styleId="LawWsPulloutbodycopy">
    <w:name w:val="LawWs Pull out body copy"/>
    <w:qFormat/>
    <w:rsid w:val="002101D6"/>
    <w:pPr>
      <w:spacing w:line="240" w:lineRule="exact"/>
    </w:pPr>
    <w:rPr>
      <w:rFonts w:ascii="Arial" w:hAnsi="Arial"/>
      <w:sz w:val="18"/>
      <w:szCs w:val="18"/>
    </w:rPr>
  </w:style>
  <w:style w:type="paragraph" w:customStyle="1" w:styleId="LawWsPulloutbodycopyWhite">
    <w:name w:val="LawWs Pull out body copy White"/>
    <w:qFormat/>
    <w:rsid w:val="00945E47"/>
    <w:pPr>
      <w:spacing w:line="260" w:lineRule="exact"/>
    </w:pPr>
    <w:rPr>
      <w:rFonts w:ascii="Arial" w:hAnsi="Arial"/>
      <w:color w:val="FFFFFE" w:themeColor="background1"/>
      <w:sz w:val="22"/>
      <w:szCs w:val="22"/>
    </w:rPr>
  </w:style>
  <w:style w:type="paragraph" w:customStyle="1" w:styleId="LawWsWhiteBodyCopyBold">
    <w:name w:val="LawWs White Body Copy Bold"/>
    <w:qFormat/>
    <w:rsid w:val="002101D6"/>
    <w:pPr>
      <w:spacing w:line="220" w:lineRule="exact"/>
    </w:pPr>
    <w:rPr>
      <w:rFonts w:ascii="Arial" w:hAnsi="Arial"/>
      <w:b/>
      <w:bCs/>
      <w:color w:val="FFFFFE" w:themeColor="background1"/>
      <w:sz w:val="18"/>
      <w:szCs w:val="18"/>
    </w:rPr>
  </w:style>
  <w:style w:type="paragraph" w:styleId="FootnoteText">
    <w:name w:val="footnote text"/>
    <w:basedOn w:val="Normal"/>
    <w:link w:val="FootnoteTextChar"/>
    <w:uiPriority w:val="99"/>
    <w:semiHidden/>
    <w:unhideWhenUsed/>
    <w:rsid w:val="00D742B7"/>
    <w:pPr>
      <w:spacing w:line="240" w:lineRule="auto"/>
    </w:pPr>
    <w:rPr>
      <w:sz w:val="20"/>
      <w:szCs w:val="20"/>
    </w:rPr>
  </w:style>
  <w:style w:type="character" w:customStyle="1" w:styleId="FootnoteTextChar">
    <w:name w:val="Footnote Text Char"/>
    <w:basedOn w:val="DefaultParagraphFont"/>
    <w:link w:val="FootnoteText"/>
    <w:uiPriority w:val="99"/>
    <w:semiHidden/>
    <w:rsid w:val="00D742B7"/>
    <w:rPr>
      <w:rFonts w:ascii="Arial" w:hAnsi="Arial"/>
      <w:sz w:val="20"/>
      <w:szCs w:val="20"/>
    </w:rPr>
  </w:style>
  <w:style w:type="character" w:styleId="FootnoteReference">
    <w:name w:val="footnote reference"/>
    <w:basedOn w:val="DefaultParagraphFont"/>
    <w:uiPriority w:val="99"/>
    <w:semiHidden/>
    <w:unhideWhenUsed/>
    <w:rsid w:val="00D742B7"/>
    <w:rPr>
      <w:vertAlign w:val="superscript"/>
    </w:rPr>
  </w:style>
  <w:style w:type="paragraph" w:styleId="EndnoteText">
    <w:name w:val="endnote text"/>
    <w:basedOn w:val="Normal"/>
    <w:link w:val="EndnoteTextChar"/>
    <w:uiPriority w:val="99"/>
    <w:semiHidden/>
    <w:unhideWhenUsed/>
    <w:rsid w:val="00A63E91"/>
    <w:pPr>
      <w:spacing w:line="240" w:lineRule="auto"/>
    </w:pPr>
    <w:rPr>
      <w:sz w:val="20"/>
      <w:szCs w:val="20"/>
    </w:rPr>
  </w:style>
  <w:style w:type="character" w:customStyle="1" w:styleId="EndnoteTextChar">
    <w:name w:val="Endnote Text Char"/>
    <w:basedOn w:val="DefaultParagraphFont"/>
    <w:link w:val="EndnoteText"/>
    <w:uiPriority w:val="99"/>
    <w:semiHidden/>
    <w:rsid w:val="00A63E91"/>
    <w:rPr>
      <w:rFonts w:ascii="Arial" w:hAnsi="Arial"/>
      <w:sz w:val="20"/>
      <w:szCs w:val="20"/>
    </w:rPr>
  </w:style>
  <w:style w:type="character" w:styleId="EndnoteReference">
    <w:name w:val="endnote reference"/>
    <w:basedOn w:val="DefaultParagraphFont"/>
    <w:uiPriority w:val="99"/>
    <w:semiHidden/>
    <w:unhideWhenUsed/>
    <w:rsid w:val="00A63E91"/>
    <w:rPr>
      <w:vertAlign w:val="superscript"/>
    </w:rPr>
  </w:style>
  <w:style w:type="character" w:styleId="CommentReference">
    <w:name w:val="annotation reference"/>
    <w:basedOn w:val="DefaultParagraphFont"/>
    <w:uiPriority w:val="99"/>
    <w:semiHidden/>
    <w:unhideWhenUsed/>
    <w:rsid w:val="00436433"/>
    <w:rPr>
      <w:sz w:val="16"/>
      <w:szCs w:val="16"/>
    </w:rPr>
  </w:style>
  <w:style w:type="paragraph" w:styleId="CommentText">
    <w:name w:val="annotation text"/>
    <w:basedOn w:val="Normal"/>
    <w:link w:val="CommentTextChar"/>
    <w:uiPriority w:val="99"/>
    <w:semiHidden/>
    <w:unhideWhenUsed/>
    <w:rsid w:val="00436433"/>
    <w:pPr>
      <w:spacing w:line="240" w:lineRule="auto"/>
    </w:pPr>
    <w:rPr>
      <w:sz w:val="20"/>
      <w:szCs w:val="20"/>
    </w:rPr>
  </w:style>
  <w:style w:type="character" w:customStyle="1" w:styleId="CommentTextChar">
    <w:name w:val="Comment Text Char"/>
    <w:basedOn w:val="DefaultParagraphFont"/>
    <w:link w:val="CommentText"/>
    <w:uiPriority w:val="99"/>
    <w:semiHidden/>
    <w:rsid w:val="0043643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36433"/>
    <w:rPr>
      <w:b/>
      <w:bCs/>
    </w:rPr>
  </w:style>
  <w:style w:type="character" w:customStyle="1" w:styleId="CommentSubjectChar">
    <w:name w:val="Comment Subject Char"/>
    <w:basedOn w:val="CommentTextChar"/>
    <w:link w:val="CommentSubject"/>
    <w:uiPriority w:val="99"/>
    <w:semiHidden/>
    <w:rsid w:val="00436433"/>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LawWs Body Copy"/>
    <w:qFormat/>
    <w:rsid w:val="0083709F"/>
    <w:pPr>
      <w:spacing w:line="220" w:lineRule="exact"/>
    </w:pPr>
    <w:rPr>
      <w:rFonts w:ascii="Arial" w:hAnsi="Arial"/>
      <w:sz w:val="22"/>
      <w:szCs w:val="18"/>
    </w:rPr>
  </w:style>
  <w:style w:type="paragraph" w:styleId="Heading1">
    <w:name w:val="heading 1"/>
    <w:aliases w:val="Heading"/>
    <w:basedOn w:val="Normal"/>
    <w:next w:val="Normal"/>
    <w:link w:val="Heading1Char"/>
    <w:uiPriority w:val="9"/>
    <w:rsid w:val="009B274A"/>
    <w:pPr>
      <w:spacing w:after="40"/>
      <w:outlineLvl w:val="0"/>
    </w:pPr>
    <w:rPr>
      <w:rFonts w:ascii="Verdana" w:eastAsiaTheme="majorEastAsia" w:hAnsi="Verdana" w:cstheme="majorBidi"/>
      <w:b/>
      <w:bCs/>
      <w:color w:val="0088C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9B274A"/>
    <w:rPr>
      <w:rFonts w:ascii="Verdana" w:eastAsiaTheme="majorEastAsia" w:hAnsi="Verdana" w:cstheme="majorBidi"/>
      <w:b/>
      <w:bCs/>
      <w:color w:val="0088C5"/>
      <w:sz w:val="22"/>
      <w:szCs w:val="22"/>
    </w:rPr>
  </w:style>
  <w:style w:type="paragraph" w:styleId="BalloonText">
    <w:name w:val="Balloon Text"/>
    <w:basedOn w:val="Normal"/>
    <w:link w:val="BalloonTextChar"/>
    <w:uiPriority w:val="99"/>
    <w:semiHidden/>
    <w:unhideWhenUsed/>
    <w:rsid w:val="00F9352D"/>
    <w:rPr>
      <w:rFonts w:ascii="Lucida Grande" w:hAnsi="Lucida Grande" w:cs="Lucida Grande"/>
    </w:rPr>
  </w:style>
  <w:style w:type="character" w:customStyle="1" w:styleId="BalloonTextChar">
    <w:name w:val="Balloon Text Char"/>
    <w:basedOn w:val="DefaultParagraphFont"/>
    <w:link w:val="BalloonText"/>
    <w:uiPriority w:val="99"/>
    <w:semiHidden/>
    <w:rsid w:val="00F9352D"/>
    <w:rPr>
      <w:rFonts w:ascii="Lucida Grande" w:hAnsi="Lucida Grande" w:cs="Lucida Grande"/>
      <w:sz w:val="18"/>
      <w:szCs w:val="18"/>
    </w:rPr>
  </w:style>
  <w:style w:type="paragraph" w:customStyle="1" w:styleId="FooterBold">
    <w:name w:val="Footer Bold"/>
    <w:basedOn w:val="Normal"/>
    <w:uiPriority w:val="99"/>
    <w:rsid w:val="009B274A"/>
    <w:pPr>
      <w:widowControl w:val="0"/>
      <w:autoSpaceDE w:val="0"/>
      <w:autoSpaceDN w:val="0"/>
      <w:adjustRightInd w:val="0"/>
      <w:spacing w:line="288" w:lineRule="auto"/>
      <w:textAlignment w:val="center"/>
    </w:pPr>
    <w:rPr>
      <w:rFonts w:cs="MinionPro-Regular"/>
      <w:b/>
      <w:color w:val="000000"/>
      <w:sz w:val="16"/>
    </w:rPr>
  </w:style>
  <w:style w:type="paragraph" w:styleId="ListParagraph">
    <w:name w:val="List Paragraph"/>
    <w:basedOn w:val="Normal"/>
    <w:uiPriority w:val="34"/>
    <w:rsid w:val="00BB5F09"/>
    <w:pPr>
      <w:ind w:left="720"/>
      <w:contextualSpacing/>
    </w:pPr>
  </w:style>
  <w:style w:type="character" w:styleId="Hyperlink">
    <w:name w:val="Hyperlink"/>
    <w:basedOn w:val="DefaultParagraphFont"/>
    <w:uiPriority w:val="99"/>
    <w:unhideWhenUsed/>
    <w:rsid w:val="000A789A"/>
    <w:rPr>
      <w:color w:val="B0347A" w:themeColor="hyperlink"/>
      <w:u w:val="single"/>
    </w:rPr>
  </w:style>
  <w:style w:type="paragraph" w:customStyle="1" w:styleId="LawWsStandfirstCopy">
    <w:name w:val="LawWs Standfirst Copy"/>
    <w:qFormat/>
    <w:rsid w:val="0083709F"/>
    <w:pPr>
      <w:spacing w:line="300" w:lineRule="exact"/>
    </w:pPr>
    <w:rPr>
      <w:rFonts w:ascii="Arial" w:hAnsi="Arial"/>
      <w:sz w:val="26"/>
      <w:szCs w:val="22"/>
    </w:rPr>
  </w:style>
  <w:style w:type="paragraph" w:customStyle="1" w:styleId="LawWsParagraphHeading">
    <w:name w:val="LawWs Paragraph Heading"/>
    <w:qFormat/>
    <w:rsid w:val="0083709F"/>
    <w:pPr>
      <w:spacing w:after="60" w:line="300" w:lineRule="exact"/>
    </w:pPr>
    <w:rPr>
      <w:rFonts w:ascii="Verdana" w:hAnsi="Verdana"/>
      <w:b/>
      <w:bCs/>
      <w:color w:val="0086C1" w:themeColor="accent3"/>
      <w:sz w:val="26"/>
      <w:szCs w:val="22"/>
    </w:rPr>
  </w:style>
  <w:style w:type="paragraph" w:styleId="NormalWeb">
    <w:name w:val="Normal (Web)"/>
    <w:basedOn w:val="Normal"/>
    <w:uiPriority w:val="99"/>
    <w:semiHidden/>
    <w:unhideWhenUsed/>
    <w:rsid w:val="00A67A54"/>
    <w:pPr>
      <w:spacing w:before="100" w:beforeAutospacing="1" w:after="100" w:afterAutospacing="1" w:line="240" w:lineRule="auto"/>
    </w:pPr>
    <w:rPr>
      <w:rFonts w:ascii="Times" w:hAnsi="Times" w:cs="Times New Roman"/>
      <w:sz w:val="20"/>
      <w:szCs w:val="20"/>
    </w:rPr>
  </w:style>
  <w:style w:type="paragraph" w:customStyle="1" w:styleId="LawWsBulletStyle">
    <w:name w:val="LawWs Bullet Style"/>
    <w:qFormat/>
    <w:rsid w:val="0083709F"/>
    <w:pPr>
      <w:numPr>
        <w:numId w:val="20"/>
      </w:numPr>
      <w:spacing w:after="60" w:line="280" w:lineRule="exact"/>
    </w:pPr>
    <w:rPr>
      <w:rFonts w:ascii="Arial" w:hAnsi="Arial"/>
      <w:sz w:val="22"/>
      <w:szCs w:val="18"/>
    </w:rPr>
  </w:style>
  <w:style w:type="paragraph" w:customStyle="1" w:styleId="LawWsDocumentTitleWhite">
    <w:name w:val="LawWs Document Title White"/>
    <w:qFormat/>
    <w:rsid w:val="00D660A9"/>
    <w:pPr>
      <w:spacing w:line="480" w:lineRule="exact"/>
    </w:pPr>
    <w:rPr>
      <w:rFonts w:ascii="Verdana" w:hAnsi="Verdana"/>
      <w:b/>
      <w:bCs/>
      <w:color w:val="0086C1" w:themeColor="accent3"/>
      <w:sz w:val="48"/>
      <w:szCs w:val="48"/>
    </w:rPr>
  </w:style>
  <w:style w:type="paragraph" w:styleId="Header">
    <w:name w:val="header"/>
    <w:basedOn w:val="Normal"/>
    <w:link w:val="HeaderChar"/>
    <w:uiPriority w:val="99"/>
    <w:unhideWhenUsed/>
    <w:rsid w:val="002F33CD"/>
    <w:pPr>
      <w:tabs>
        <w:tab w:val="center" w:pos="4320"/>
        <w:tab w:val="right" w:pos="8640"/>
      </w:tabs>
      <w:spacing w:line="240" w:lineRule="auto"/>
    </w:pPr>
  </w:style>
  <w:style w:type="character" w:customStyle="1" w:styleId="HeaderChar">
    <w:name w:val="Header Char"/>
    <w:basedOn w:val="DefaultParagraphFont"/>
    <w:link w:val="Header"/>
    <w:uiPriority w:val="99"/>
    <w:rsid w:val="002F33CD"/>
    <w:rPr>
      <w:rFonts w:ascii="Arial" w:hAnsi="Arial"/>
      <w:sz w:val="18"/>
      <w:szCs w:val="18"/>
    </w:rPr>
  </w:style>
  <w:style w:type="paragraph" w:customStyle="1" w:styleId="LawWsFooterRegular">
    <w:name w:val="LawWs Footer Regular"/>
    <w:qFormat/>
    <w:rsid w:val="002F33CD"/>
    <w:pPr>
      <w:spacing w:line="200" w:lineRule="exact"/>
    </w:pPr>
    <w:rPr>
      <w:rFonts w:ascii="Arial" w:hAnsi="Arial" w:cs="Arial"/>
      <w:sz w:val="16"/>
      <w:szCs w:val="16"/>
    </w:rPr>
  </w:style>
  <w:style w:type="character" w:customStyle="1" w:styleId="LawWsFooterBold">
    <w:name w:val="LawWs Footer Bold"/>
    <w:uiPriority w:val="1"/>
    <w:qFormat/>
    <w:rsid w:val="005F20A1"/>
    <w:rPr>
      <w:rFonts w:ascii="Arial" w:hAnsi="Arial" w:cs="Arial"/>
      <w:b/>
      <w:bCs/>
      <w:i w:val="0"/>
      <w:iCs w:val="0"/>
      <w:color w:val="0086C1" w:themeColor="accent3"/>
      <w:spacing w:val="0"/>
      <w:w w:val="100"/>
      <w:position w:val="0"/>
      <w:sz w:val="16"/>
      <w:szCs w:val="16"/>
      <w:u w:val="none"/>
    </w:rPr>
  </w:style>
  <w:style w:type="paragraph" w:styleId="Footer">
    <w:name w:val="footer"/>
    <w:basedOn w:val="Normal"/>
    <w:link w:val="FooterChar"/>
    <w:uiPriority w:val="99"/>
    <w:unhideWhenUsed/>
    <w:rsid w:val="00F0299C"/>
    <w:pPr>
      <w:tabs>
        <w:tab w:val="center" w:pos="4320"/>
        <w:tab w:val="right" w:pos="8640"/>
      </w:tabs>
      <w:spacing w:line="240" w:lineRule="auto"/>
    </w:pPr>
  </w:style>
  <w:style w:type="character" w:customStyle="1" w:styleId="FooterChar">
    <w:name w:val="Footer Char"/>
    <w:basedOn w:val="DefaultParagraphFont"/>
    <w:link w:val="Footer"/>
    <w:uiPriority w:val="99"/>
    <w:rsid w:val="00F0299C"/>
    <w:rPr>
      <w:rFonts w:ascii="Arial" w:hAnsi="Arial"/>
      <w:sz w:val="18"/>
      <w:szCs w:val="18"/>
    </w:rPr>
  </w:style>
  <w:style w:type="table" w:styleId="TableGrid">
    <w:name w:val="Table Grid"/>
    <w:basedOn w:val="TableNormal"/>
    <w:uiPriority w:val="59"/>
    <w:rsid w:val="00F02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wWsPullOuttitleWhite">
    <w:name w:val="LawWs Pull Out title White"/>
    <w:qFormat/>
    <w:rsid w:val="00945E47"/>
    <w:pPr>
      <w:spacing w:after="60" w:line="280" w:lineRule="exact"/>
    </w:pPr>
    <w:rPr>
      <w:rFonts w:ascii="Verdana" w:hAnsi="Verdana"/>
      <w:b/>
      <w:bCs/>
      <w:color w:val="FFFFFE" w:themeColor="background1"/>
      <w:sz w:val="26"/>
      <w:szCs w:val="26"/>
    </w:rPr>
  </w:style>
  <w:style w:type="paragraph" w:customStyle="1" w:styleId="LawWsPulloutbodycopy">
    <w:name w:val="LawWs Pull out body copy"/>
    <w:qFormat/>
    <w:rsid w:val="002101D6"/>
    <w:pPr>
      <w:spacing w:line="240" w:lineRule="exact"/>
    </w:pPr>
    <w:rPr>
      <w:rFonts w:ascii="Arial" w:hAnsi="Arial"/>
      <w:sz w:val="18"/>
      <w:szCs w:val="18"/>
    </w:rPr>
  </w:style>
  <w:style w:type="paragraph" w:customStyle="1" w:styleId="LawWsPulloutbodycopyWhite">
    <w:name w:val="LawWs Pull out body copy White"/>
    <w:qFormat/>
    <w:rsid w:val="00945E47"/>
    <w:pPr>
      <w:spacing w:line="260" w:lineRule="exact"/>
    </w:pPr>
    <w:rPr>
      <w:rFonts w:ascii="Arial" w:hAnsi="Arial"/>
      <w:color w:val="FFFFFE" w:themeColor="background1"/>
      <w:sz w:val="22"/>
      <w:szCs w:val="22"/>
    </w:rPr>
  </w:style>
  <w:style w:type="paragraph" w:customStyle="1" w:styleId="LawWsWhiteBodyCopyBold">
    <w:name w:val="LawWs White Body Copy Bold"/>
    <w:qFormat/>
    <w:rsid w:val="002101D6"/>
    <w:pPr>
      <w:spacing w:line="220" w:lineRule="exact"/>
    </w:pPr>
    <w:rPr>
      <w:rFonts w:ascii="Arial" w:hAnsi="Arial"/>
      <w:b/>
      <w:bCs/>
      <w:color w:val="FFFFFE" w:themeColor="background1"/>
      <w:sz w:val="18"/>
      <w:szCs w:val="18"/>
    </w:rPr>
  </w:style>
  <w:style w:type="paragraph" w:styleId="FootnoteText">
    <w:name w:val="footnote text"/>
    <w:basedOn w:val="Normal"/>
    <w:link w:val="FootnoteTextChar"/>
    <w:uiPriority w:val="99"/>
    <w:semiHidden/>
    <w:unhideWhenUsed/>
    <w:rsid w:val="00D742B7"/>
    <w:pPr>
      <w:spacing w:line="240" w:lineRule="auto"/>
    </w:pPr>
    <w:rPr>
      <w:sz w:val="20"/>
      <w:szCs w:val="20"/>
    </w:rPr>
  </w:style>
  <w:style w:type="character" w:customStyle="1" w:styleId="FootnoteTextChar">
    <w:name w:val="Footnote Text Char"/>
    <w:basedOn w:val="DefaultParagraphFont"/>
    <w:link w:val="FootnoteText"/>
    <w:uiPriority w:val="99"/>
    <w:semiHidden/>
    <w:rsid w:val="00D742B7"/>
    <w:rPr>
      <w:rFonts w:ascii="Arial" w:hAnsi="Arial"/>
      <w:sz w:val="20"/>
      <w:szCs w:val="20"/>
    </w:rPr>
  </w:style>
  <w:style w:type="character" w:styleId="FootnoteReference">
    <w:name w:val="footnote reference"/>
    <w:basedOn w:val="DefaultParagraphFont"/>
    <w:uiPriority w:val="99"/>
    <w:semiHidden/>
    <w:unhideWhenUsed/>
    <w:rsid w:val="00D742B7"/>
    <w:rPr>
      <w:vertAlign w:val="superscript"/>
    </w:rPr>
  </w:style>
  <w:style w:type="paragraph" w:styleId="EndnoteText">
    <w:name w:val="endnote text"/>
    <w:basedOn w:val="Normal"/>
    <w:link w:val="EndnoteTextChar"/>
    <w:uiPriority w:val="99"/>
    <w:semiHidden/>
    <w:unhideWhenUsed/>
    <w:rsid w:val="00A63E91"/>
    <w:pPr>
      <w:spacing w:line="240" w:lineRule="auto"/>
    </w:pPr>
    <w:rPr>
      <w:sz w:val="20"/>
      <w:szCs w:val="20"/>
    </w:rPr>
  </w:style>
  <w:style w:type="character" w:customStyle="1" w:styleId="EndnoteTextChar">
    <w:name w:val="Endnote Text Char"/>
    <w:basedOn w:val="DefaultParagraphFont"/>
    <w:link w:val="EndnoteText"/>
    <w:uiPriority w:val="99"/>
    <w:semiHidden/>
    <w:rsid w:val="00A63E91"/>
    <w:rPr>
      <w:rFonts w:ascii="Arial" w:hAnsi="Arial"/>
      <w:sz w:val="20"/>
      <w:szCs w:val="20"/>
    </w:rPr>
  </w:style>
  <w:style w:type="character" w:styleId="EndnoteReference">
    <w:name w:val="endnote reference"/>
    <w:basedOn w:val="DefaultParagraphFont"/>
    <w:uiPriority w:val="99"/>
    <w:semiHidden/>
    <w:unhideWhenUsed/>
    <w:rsid w:val="00A63E91"/>
    <w:rPr>
      <w:vertAlign w:val="superscript"/>
    </w:rPr>
  </w:style>
  <w:style w:type="character" w:styleId="CommentReference">
    <w:name w:val="annotation reference"/>
    <w:basedOn w:val="DefaultParagraphFont"/>
    <w:uiPriority w:val="99"/>
    <w:semiHidden/>
    <w:unhideWhenUsed/>
    <w:rsid w:val="00436433"/>
    <w:rPr>
      <w:sz w:val="16"/>
      <w:szCs w:val="16"/>
    </w:rPr>
  </w:style>
  <w:style w:type="paragraph" w:styleId="CommentText">
    <w:name w:val="annotation text"/>
    <w:basedOn w:val="Normal"/>
    <w:link w:val="CommentTextChar"/>
    <w:uiPriority w:val="99"/>
    <w:semiHidden/>
    <w:unhideWhenUsed/>
    <w:rsid w:val="00436433"/>
    <w:pPr>
      <w:spacing w:line="240" w:lineRule="auto"/>
    </w:pPr>
    <w:rPr>
      <w:sz w:val="20"/>
      <w:szCs w:val="20"/>
    </w:rPr>
  </w:style>
  <w:style w:type="character" w:customStyle="1" w:styleId="CommentTextChar">
    <w:name w:val="Comment Text Char"/>
    <w:basedOn w:val="DefaultParagraphFont"/>
    <w:link w:val="CommentText"/>
    <w:uiPriority w:val="99"/>
    <w:semiHidden/>
    <w:rsid w:val="0043643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36433"/>
    <w:rPr>
      <w:b/>
      <w:bCs/>
    </w:rPr>
  </w:style>
  <w:style w:type="character" w:customStyle="1" w:styleId="CommentSubjectChar">
    <w:name w:val="Comment Subject Char"/>
    <w:basedOn w:val="CommentTextChar"/>
    <w:link w:val="CommentSubject"/>
    <w:uiPriority w:val="99"/>
    <w:semiHidden/>
    <w:rsid w:val="0043643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947828">
      <w:bodyDiv w:val="1"/>
      <w:marLeft w:val="0"/>
      <w:marRight w:val="0"/>
      <w:marTop w:val="0"/>
      <w:marBottom w:val="0"/>
      <w:divBdr>
        <w:top w:val="none" w:sz="0" w:space="0" w:color="auto"/>
        <w:left w:val="none" w:sz="0" w:space="0" w:color="auto"/>
        <w:bottom w:val="none" w:sz="0" w:space="0" w:color="auto"/>
        <w:right w:val="none" w:sz="0" w:space="0" w:color="auto"/>
      </w:divBdr>
    </w:div>
    <w:div w:id="598416924">
      <w:bodyDiv w:val="1"/>
      <w:marLeft w:val="0"/>
      <w:marRight w:val="0"/>
      <w:marTop w:val="0"/>
      <w:marBottom w:val="0"/>
      <w:divBdr>
        <w:top w:val="none" w:sz="0" w:space="0" w:color="auto"/>
        <w:left w:val="none" w:sz="0" w:space="0" w:color="auto"/>
        <w:bottom w:val="none" w:sz="0" w:space="0" w:color="auto"/>
        <w:right w:val="none" w:sz="0" w:space="0" w:color="auto"/>
      </w:divBdr>
    </w:div>
    <w:div w:id="8095133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ichard.pitkethly@la" TargetMode="External"/><Relationship Id="rId14" Type="http://schemas.microsoft.com/office/2011/relationships/commentsExtended" Target="commentsExtended.xml"/></Relationships>
</file>

<file path=word/_rels/endnotes.xml.rels><?xml version="1.0" encoding="UTF-8" standalone="yes"?>
<Relationships xmlns="http://schemas.openxmlformats.org/package/2006/relationships"><Relationship Id="rId8" Type="http://schemas.openxmlformats.org/officeDocument/2006/relationships/hyperlink" Target="https://www.leighday.co.uk/News/News-2016/October-2016/Historic-victory-for-Uber-drivers-as-Tribunal-find" TargetMode="External"/><Relationship Id="rId13" Type="http://schemas.openxmlformats.org/officeDocument/2006/relationships/hyperlink" Target="https://www.gov.uk/government/uploads/system/uploads/attachment_data/file/32696/12-1039-employment-tribunal-rules-underhill-review.pdf" TargetMode="External"/><Relationship Id="rId18" Type="http://schemas.openxmlformats.org/officeDocument/2006/relationships/hyperlink" Target="https://www.lawworks.org.uk/about-us/news/lawworks-attorney-general-student-awards-2017" TargetMode="External"/><Relationship Id="rId3" Type="http://schemas.openxmlformats.org/officeDocument/2006/relationships/hyperlink" Target="https://www.thersa.org/discover/publications-and-articles/rsa-blogs/2017/04/making-the-gig-economy-work-for-everyone" TargetMode="External"/><Relationship Id="rId21" Type="http://schemas.openxmlformats.org/officeDocument/2006/relationships/hyperlink" Target="https://www.publications.parliament.uk/pa/cm201617/cmselect/cmworpen/847/84702.htm" TargetMode="External"/><Relationship Id="rId7" Type="http://schemas.openxmlformats.org/officeDocument/2006/relationships/hyperlink" Target="http://www2.cipd.co.uk/pm/peoplemanagement/b/weblog/archive/2013/11/25/employment-claims-find-a-different-route-to-justice.aspx" TargetMode="External"/><Relationship Id="rId12" Type="http://schemas.openxmlformats.org/officeDocument/2006/relationships/hyperlink" Target="https://consult.justice.gov.uk/digital-communications/et-fee-charging-regime-cp22-2011/supporting_documents/chargingfeesinetandeat1.pdf" TargetMode="External"/><Relationship Id="rId17" Type="http://schemas.openxmlformats.org/officeDocument/2006/relationships/hyperlink" Target="http://webarchive.nationalarchives.gov.uk/20111121205348/http:/www.justice.gov.uk/consultations/legal-aid-reform.htm" TargetMode="External"/><Relationship Id="rId2" Type="http://schemas.openxmlformats.org/officeDocument/2006/relationships/hyperlink" Target="https://www.publications.parliament.uk/pa/cm201617/cmselect/cmworpen/847/84702.htm" TargetMode="External"/><Relationship Id="rId16" Type="http://schemas.openxmlformats.org/officeDocument/2006/relationships/hyperlink" Target="https://www.publications.parliament.uk/pa/cm201617/cmselect/cmjust/167/16702.htm" TargetMode="External"/><Relationship Id="rId20" Type="http://schemas.openxmlformats.org/officeDocument/2006/relationships/hyperlink" Target="https://www.gov.uk/government/uploads/system/uploads/attachment_data/file/537432/OTS_Employment_Status_report_March_2016_u.pdf" TargetMode="External"/><Relationship Id="rId1" Type="http://schemas.openxmlformats.org/officeDocument/2006/relationships/hyperlink" Target="https://www.citizensadvice.org.uk/about-us/how-citizens-advice-works/media/press-releases/45-million-people-in-insecure-work-reveals-citizens-advice/" TargetMode="External"/><Relationship Id="rId6" Type="http://schemas.openxmlformats.org/officeDocument/2006/relationships/hyperlink" Target="https://www.citizensadvice.org.uk/Global/Public/Advice%20trends/Advice%20trends%202016-17/Advicetrends201617Q1.pdf" TargetMode="External"/><Relationship Id="rId11" Type="http://schemas.openxmlformats.org/officeDocument/2006/relationships/hyperlink" Target="https://www.tuc.org.uk/sites/default/files/Casualisationandlowpay.docx" TargetMode="External"/><Relationship Id="rId5" Type="http://schemas.openxmlformats.org/officeDocument/2006/relationships/hyperlink" Target="https://www.gov.uk/government/uploads/system/uploads/attachment_data/file/537432/OTS_Employment_Status_report_March_2016_u.pdf" TargetMode="External"/><Relationship Id="rId15" Type="http://schemas.openxmlformats.org/officeDocument/2006/relationships/hyperlink" Target="https://consult.justice.gov.uk/digital-communications/review-of-fees-in-employment-tribunals/" TargetMode="External"/><Relationship Id="rId23" Type="http://schemas.openxmlformats.org/officeDocument/2006/relationships/hyperlink" Target="https://www.gov.uk/government/uploads/system/uploads/attachment_data/file/448442/BIS-15-434-UK-non-paper-on-sharing-economy.pdf" TargetMode="External"/><Relationship Id="rId10" Type="http://schemas.openxmlformats.org/officeDocument/2006/relationships/hyperlink" Target="https://www.gov.uk/government/consultations/national-minimum-wage-draft-consolidated-regulations" TargetMode="External"/><Relationship Id="rId19" Type="http://schemas.openxmlformats.org/officeDocument/2006/relationships/hyperlink" Target="https://www.gov.uk/government/uploads/system/uploads/attachment_data/file/529702/ind-16-2-self-employment-review.pdf" TargetMode="External"/><Relationship Id="rId4" Type="http://schemas.openxmlformats.org/officeDocument/2006/relationships/hyperlink" Target="https://pure.strath.ac.uk/portal/files/62580788/Sales_2015_Citizens_advice_bureaux_clients_and_advisers.pdf" TargetMode="External"/><Relationship Id="rId9" Type="http://schemas.openxmlformats.org/officeDocument/2006/relationships/hyperlink" Target="https://www.theguardian.com/business/2017/jan/31/gig-econoomy-guarantee-minimum-wage-frank-field" TargetMode="External"/><Relationship Id="rId14" Type="http://schemas.openxmlformats.org/officeDocument/2006/relationships/hyperlink" Target="https://www.gov.uk/government/consultations/reforming-the-employment-tribunal-system" TargetMode="External"/><Relationship Id="rId22" Type="http://schemas.openxmlformats.org/officeDocument/2006/relationships/hyperlink" Target="http://www.pwc.co.uk/issues/megatrends/collisions/sharingeconomy/outlook-for-the-sharing-economy-in-the-uk-2016.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W0010_Factsheet_ClinicsResources_Theme">
  <a:themeElements>
    <a:clrScheme name="LawWorks_ClinicsResources_Factsheet">
      <a:dk1>
        <a:srgbClr val="101110"/>
      </a:dk1>
      <a:lt1>
        <a:srgbClr val="FFFFFE"/>
      </a:lt1>
      <a:dk2>
        <a:srgbClr val="101110"/>
      </a:dk2>
      <a:lt2>
        <a:srgbClr val="FFFFFE"/>
      </a:lt2>
      <a:accent1>
        <a:srgbClr val="004882"/>
      </a:accent1>
      <a:accent2>
        <a:srgbClr val="004882"/>
      </a:accent2>
      <a:accent3>
        <a:srgbClr val="0086C1"/>
      </a:accent3>
      <a:accent4>
        <a:srgbClr val="0086C1"/>
      </a:accent4>
      <a:accent5>
        <a:srgbClr val="B0347A"/>
      </a:accent5>
      <a:accent6>
        <a:srgbClr val="B0347A"/>
      </a:accent6>
      <a:hlink>
        <a:srgbClr val="B0347A"/>
      </a:hlink>
      <a:folHlink>
        <a:srgbClr val="B0347A"/>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4A412-AE54-49AB-B371-1975D0B9E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4556</Words>
  <Characters>25970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We Launch</Company>
  <LinksUpToDate>false</LinksUpToDate>
  <CharactersWithSpaces>30466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Howe</dc:creator>
  <cp:lastModifiedBy>James Sandbach</cp:lastModifiedBy>
  <cp:revision>2</cp:revision>
  <cp:lastPrinted>2017-05-30T08:05:00Z</cp:lastPrinted>
  <dcterms:created xsi:type="dcterms:W3CDTF">2017-07-11T20:56:00Z</dcterms:created>
  <dcterms:modified xsi:type="dcterms:W3CDTF">2017-07-11T20:56:00Z</dcterms:modified>
</cp:coreProperties>
</file>